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AusbauBAusbV — Prüfungsbereich „Durchführen von Trockenbauarbeiten“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Trockenbauarbeiten“ hat der Prüfling nachzuweisen, dass er in der Lage ist,</w:t>
      </w:r>
    </w:p>
    <w:p>
      <w:pPr>
        <w:ind w:left="420"/>
      </w:pPr>
      <w:r>
        <w:t xml:space="preserve">1. Verfahren zur Erstellung von Trockenbaukonstruktionen zu unterscheiden,</w:t>
      </w:r>
    </w:p>
    <w:p>
      <w:pPr>
        <w:ind w:left="420"/>
      </w:pPr>
      <w:r>
        <w:t xml:space="preserve">2. Brand- und Schallschutzkonstruktionen zu beschreiben sowie</w:t>
      </w:r>
    </w:p>
    <w:p>
      <w:pPr>
        <w:ind w:left="420"/>
      </w:pPr>
      <w:r>
        <w:t xml:space="preserve">3. Verfahren zum Einbauen von Fertigteilestrichen zu unterscheiden.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44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