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AusbauBAusbV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Ausbauarbeiten“    mit 40 Prozent,</w:t>
      </w:r>
    </w:p>
    <w:p>
      <w:r>
        <w:rPr>
          <w:rFonts w:ascii="Courier New" w:hAnsi="Courier New"/>
          <w:sz w:val="17"/>
        </w:rPr>
        <w:t xml:space="preserve">„Herstellen von Holzbauteilen“    mit 30 Prozent,</w:t>
      </w:r>
    </w:p>
    <w:p>
      <w:r>
        <w:rPr>
          <w:rFonts w:ascii="Courier New" w:hAnsi="Courier New"/>
          <w:sz w:val="17"/>
        </w:rPr>
        <w:t xml:space="preserve">„Durchführen von Dachkonstruktionsarbeiten“    mit 10 Prozent,</w:t>
      </w:r>
    </w:p>
    <w:p>
      <w:r>
        <w:rPr>
          <w:rFonts w:ascii="Courier New" w:hAnsi="Courier New"/>
          <w:sz w:val="17"/>
        </w:rPr>
        <w:t xml:space="preserve">„Durchführen von Holzkonstruktionsarbeiten“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bestanden, wenn die Prüfungsleistungen – auch unter Berücksichtigung einer mündlichen Ergänzungsprüfung nach § 34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Holzbauteilen“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33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