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AusbauBAusbV — Inhalt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Gesellen- oder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Zimmererarbeiten sowie zum Zimmerer und zur Zimmerin in der Anlage 1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im Schwerpunkt Zimmererarbeiten sowie zum Zimmerer und zur Zimmerin in Anlage 1 genannten Fertigkeiten, Kenntnissen und Fähigkeiten entspricht.</w:t>
      </w:r>
    </w:p>
    <w:p>
      <w:r>
        <w:t xml:space="preserve">(2) In Teil 2 der Gesellen- oder Abschlussprüfung sollen Fertigkeiten, Kenntnisse und Fähigkeiten, die bereits Gegenstand von Teil 1 der Gesellen- oder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27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