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AusbauBAusbV — Inhalt des Teiles 1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1 der Gesellen- oder Abschlussprüfung erstreckt sich auf</w:t>
      </w:r>
    </w:p>
    <w:p>
      <w:pPr>
        <w:ind w:left="420"/>
      </w:pPr>
      <w:r>
        <w:t xml:space="preserve">1. die im Ausbildungsrahmenplan für die Berufsausbildung zum Ausbaufacharbeiter und zur Ausbaufacharbeiterin im Schwerpunkt Zimmererarbeiten sowie zum Zimmerer und zur Zimmerin in Anlage 1 Abschnitt A, B und D für die ersten 24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Ausbaufacharbeiter und zur Ausbaufacharbeiterin im Schwerpunkt Zimmererarbeiten sowie zum Zimmerer und zur Zimmerin in Anlage 1 Abschnitt A, B und D genannten Fertigkeiten, Kenntnissen und Fähigkeiten entspricht.</w:t>
      </w:r>
    </w:p>
    <w:p>
      <w:r>
        <w:rPr>
          <w:color w:val="555555"/>
          <w:sz w:val="17"/>
        </w:rPr>
        <w:t xml:space="preserve">Zitiervorschlag: § 25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