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AusbErstV</w:t>
      </w:r>
    </w:p>
    <w:p>
      <w:r>
        <w:rPr>
          <w:color w:val="555555"/>
          <w:sz w:val="18"/>
        </w:rPr>
        <w:t xml:space="preserve">Ausbildungsvermittlungs-Erstattungs-Verordnung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16 Abs. 1b Satz 2 des Zweiten Buches Sozialgesetzbuch - Grundsicherung für Arbeitsuchende - (Artikel 1 des Gesetzes vom 24. Dezember 2003, BGBl. I S. 2954, 2955), der durch Artikel 1 Nr. 14 des Gesetzes vom 20. Juli 2006 (BGBl. I S. 1706) eingefügt worden ist, verordnet das Bundesministerium für Arbeit und Soziales:</w:t>
      </w:r>
    </w:p>
    <w:p>
      <w:r>
        <w:rPr>
          <w:color w:val="555555"/>
          <w:sz w:val="17"/>
        </w:rPr>
        <w:t xml:space="preserve">Zitiervorschlag: Eingangsformel AusbErstV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https://recht.nulegal.eu/gesetze/AusbErstV/eingangsformel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