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AusbEignV 2009</w:t>
      </w:r>
    </w:p>
    <w:p>
      <w:r>
        <w:rPr>
          <w:color w:val="555555"/>
          <w:sz w:val="18"/>
        </w:rPr>
        <w:t xml:space="preserve">Ausbilder-Eignungsverordnung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30 Absatz 5 des Berufsbildungsgesetzes vom 23. März 2005 (BGBl. I S. 931) verordnet das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AusbEignV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https://recht.nulegal.eu/gesetze/AusbEignV%202009/eingangsformel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