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AusbEignV 2009 — Fortführen der Ausbildertätigkeit</w:t>
      </w:r>
    </w:p>
    <w:p>
      <w:r>
        <w:rPr>
          <w:color w:val="555555"/>
          <w:sz w:val="18"/>
        </w:rPr>
        <w:t xml:space="preserve">Ausbilder-Eignungsverordnung</w:t>
      </w:r>
    </w:p>
    <w:p>
      <w:r>
        <w:rPr>
          <w:color w:val="555555"/>
          <w:sz w:val="18"/>
        </w:rPr>
        <w:t xml:space="preserve">Stand: 10.06.2019 (konsolidierte Textfassung, kein amtliches Inkrafttretensdatum)</w:t>
      </w:r>
    </w:p>
    <w:p>
      <w:r>
        <w:t xml:space="preserve">Wer vor dem 1. August 2009 als Ausbilder im Sinne des § 28 Absatz 1 Satz 2 des Berufsbildungsgesetzes tätig war, ist vom Nachweis nach den §§ 5 und 6 dieser Verordnung befreit, es sei denn, dass die bisherige Ausbildertätigkeit zu Beanstandungen mit einer Aufforderung zur Mängelbeseitigung durch die zuständige Stelle geführt hat. Sind nach Aufforderung die Mängel beseitigt worden und Gefährdungen für eine ordnungsgemäße Ausbildung nicht zu erwarten, kann die zuständige Stelle vom Nachweis nach den §§ 5 und 6 befreien; sie kann dabei Auflagen erteilen.</w:t>
      </w:r>
    </w:p>
    <w:p>
      <w:r>
        <w:rPr>
          <w:color w:val="555555"/>
          <w:sz w:val="17"/>
        </w:rPr>
        <w:t xml:space="preserve">Zitiervorschlag: § 7 AusbEignV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https://recht.nulegal.eu/gesetze/AusbEignV%202009/7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