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AusbEignV 2009 — Handlungsfelder</w:t>
      </w:r>
    </w:p>
    <w:p>
      <w:r>
        <w:rPr>
          <w:color w:val="555555"/>
          <w:sz w:val="18"/>
        </w:rPr>
        <w:t xml:space="preserve">Ausbilder-Eignungsverordnung</w:t>
      </w:r>
    </w:p>
    <w:p>
      <w:r>
        <w:rPr>
          <w:color w:val="555555"/>
          <w:sz w:val="18"/>
        </w:rPr>
        <w:t xml:space="preserve">Stand: 11.09.2025 (konsolidierte Textfassung, kein amtliches Inkrafttretensdatum)</w:t>
      </w:r>
    </w:p>
    <w:p>
      <w:r>
        <w:t xml:space="preserve">(1) Das Handlungsfeld nach § 2 Nummer 1 umfasst die berufs- und arbeitspädagogische Eignung, Ausbildungsvoraussetzungen zu prüfen und Ausbildung zu planen. Die Ausbilder und Ausbilderinnen sind dabei in der Lage,</w:t>
      </w:r>
    </w:p>
    <w:p>
      <w:pPr>
        <w:ind w:left="420"/>
      </w:pPr>
      <w:r>
        <w:t xml:space="preserve">1. die Vorteile und den Nutzen betrieblicher Ausbildung darstellen und begründen zu können,</w:t>
      </w:r>
    </w:p>
    <w:p>
      <w:pPr>
        <w:ind w:left="420"/>
      </w:pPr>
      <w:r>
        <w:t xml:space="preserve">2. bei den Planungen und Entscheidungen hinsichtlich des betrieblichen Ausbildungsbedarfs auf der Grundlage der rechtlichen, tarifvertraglichen und betrieblichen Rahmenbedingungen mitzuwirken,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Betriebes für die Ausbildung in dem angestrebten Ausbildungsberuf zu prüfen sowie, ob und inwieweit Ausbildungsinhalte durch Maßnahmen außerhalb der Ausbildungsstätte, insbesondere Ausbildung im Verbund, überbetriebliche und außerbetriebliche Ausbildung, vermittelt werden können,</w:t>
      </w:r>
    </w:p>
    <w:p>
      <w:pPr>
        <w:ind w:left="420"/>
      </w:pPr>
      <w:r>
        <w:t xml:space="preserve">6. die Möglichkeiten des Einsatzes von auf die Berufsausbildung vorbereitenden Maßnahmen einzuschätzen sowie</w:t>
      </w:r>
    </w:p>
    <w:p>
      <w:pPr>
        <w:ind w:left="420"/>
      </w:pPr>
      <w:r>
        <w:t xml:space="preserve">7. im Betrieb die Aufgaben der an der Ausbildung Mitwirkenden unter Berücksichtigung ihrer Funktionen und Qualifikationen abzustimmen.</w:t>
      </w:r>
    </w:p>
    <w:p>
      <w:r>
        <w:t xml:space="preserve">(2) Das Handlungsfeld nach § 2 Nummer 2 umfasst die berufs- und arbeitspädagogische Eignung, die Ausbildung unter Berücksichtigung organisatorischer sowie rechtlicher Aspekte vorzubereiten. Die Ausbilder und Ausbilderinnen sind dabei in der Lage,</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Vertrages bei der zuständigen Stelle zu veranlassen sowie</w:t>
      </w:r>
    </w:p>
    <w:p>
      <w:pPr>
        <w:ind w:left="420"/>
      </w:pPr>
      <w:r>
        <w:t xml:space="preserve">6. die Möglichkeiten zu prüfen, ob Teile der Berufsausbildung im Ausland durchgeführt werden können.</w:t>
      </w:r>
    </w:p>
    <w:p>
      <w:r>
        <w:t xml:space="preserve">(3) Das Handlungsfeld nach § 2 Nummer 3 umfasst die berufs- und arbeitspädagogische Eignung, selbstständiges Lernen in berufstypischen Arbeits- und Geschäftsprozessen handlungsorientiert zu fördern. Die Ausbilder und Ausbilderinnen sind dabei in der Lage,</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eine Lösung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(4) Das Handlungsfeld nach § 2 Nummer 4 umfasst die berufs- und arbeitspädagogische Eignung, die Ausbildung zu einem erfolgreichen Abschluss zu führen und dem Auszubildenden Perspektiven für seine berufliche Weiterentwicklung aufzuzeigen. Die Ausbilder und Ausbilderinnen sind dabei in der Lage,</w:t>
      </w:r>
    </w:p>
    <w:p>
      <w:pPr>
        <w:ind w:left="420"/>
      </w:pPr>
      <w:r>
        <w:t xml:space="preserve">1. Auszubildende auf die Abschluss- oder Gesellenprüfung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rPr>
          <w:color w:val="555555"/>
          <w:sz w:val="17"/>
        </w:rPr>
        <w:t xml:space="preserve">Zitiervorschlag: § 3 AusbEignV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https://recht.nulegal.eu/gesetze/AusbEignV%202009/3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