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AusbEignV 2009 — Geltungsbereich</w:t>
      </w:r>
    </w:p>
    <w:p>
      <w:r>
        <w:rPr>
          <w:color w:val="555555"/>
          <w:sz w:val="18"/>
        </w:rPr>
        <w:t xml:space="preserve">Ausbilder-Eignungsverordnung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Ausbilder und Ausbilderinnen haben für die Ausbildung in anerkannten Ausbildungsberufen nach dem Berufsbildungsgesetz den Erwerb der berufs- und arbeitspädagogischen Fertigkeiten, Kenntnisse und Fähigkeiten nach dieser Verordnung nachzuweisen. Dies gilt nicht für die Ausbildung im Bereich der Angehörigen der freien Berufe.</w:t>
      </w:r>
    </w:p>
    <w:p>
      <w:r>
        <w:rPr>
          <w:color w:val="555555"/>
          <w:sz w:val="17"/>
        </w:rPr>
        <w:t xml:space="preserve">Zitiervorschlag: § 1 AusbEignV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https://recht.nulegal.eu/gesetze/AusbEignV%202009/1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