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AusbEignMedPharmV</w:t>
      </w:r>
    </w:p>
    <w:p>
      <w:r>
        <w:rPr>
          <w:color w:val="555555"/>
          <w:sz w:val="18"/>
        </w:rPr>
        <w:t xml:space="preserve">Verordnung über die fachliche Eignung für die Berufsausbildung der Medizinischen, Zahnmedizinischen und Tiermedizinischen Fachangestellten sowie der Pharmazeutisch-kaufmännischen 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2005 in Kraft.</w:t>
      </w:r>
    </w:p>
    <w:p>
      <w:r>
        <w:rPr>
          <w:color w:val="555555"/>
          <w:sz w:val="17"/>
        </w:rPr>
        <w:t xml:space="preserve">Zitiervorschlag: § 2 AusbEignMedPharmV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https://recht.nulegal.eu/gesetze/AusbEignMedPharmV/2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