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AusbEignMedPharmV</w:t>
      </w:r>
    </w:p>
    <w:p>
      <w:r>
        <w:rPr>
          <w:color w:val="555555"/>
          <w:sz w:val="18"/>
        </w:rPr>
        <w:t xml:space="preserve">Verordnung über die fachliche Eignung für die Berufsausbildung der Medizinischen, Zahnmedizinischen und Tiermedizinischen Fachangestellten sowie der Pharmazeutisch-kaufmännischen Angestellten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für die fachliche Eignung erforderlichen beruflichen Fertigkeiten, Kenntnisse und Fähigkeiten besitzt für den Ausbildungsberuf</w:t>
      </w:r>
    </w:p>
    <w:p>
      <w:pPr>
        <w:ind w:left="420"/>
      </w:pPr>
      <w:r>
        <w:t xml:space="preserve">1. Medizinischer Fachangestellter/Medizinische Fachangestellte, wer als Arzt oder als Ärztin approbiert ist,</w:t>
      </w:r>
    </w:p>
    <w:p>
      <w:pPr>
        <w:ind w:left="420"/>
      </w:pPr>
      <w:r>
        <w:t xml:space="preserve">2. Zahnmedizinischer Fachangestellter/Zahnmedizinische Fachangestellte, wer als Zahnarzt oder als Zahnärztin approbiert ist,</w:t>
      </w:r>
    </w:p>
    <w:p>
      <w:pPr>
        <w:ind w:left="420"/>
      </w:pPr>
      <w:r>
        <w:t xml:space="preserve">3. Tiermedizinischer Fachangestellter/Tiermedizinische Fachangestellte, wer als Tierarzt oder als Tierärztin approbiert ist,</w:t>
      </w:r>
    </w:p>
    <w:p>
      <w:pPr>
        <w:ind w:left="420"/>
      </w:pPr>
      <w:r>
        <w:t xml:space="preserve">4. Pharmazeutisch-kaufmännischer Angestellter/Pharmazeutisch-kaufmännische Angestellte, wer als Apotheker oder als Apothekerin approbiert ist.</w:t>
      </w:r>
    </w:p>
    <w:p>
      <w:r>
        <w:rPr>
          <w:color w:val="555555"/>
          <w:sz w:val="17"/>
        </w:rPr>
        <w:t xml:space="preserve">Zitiervorschlag: § 1 AusbEignMedPharmV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https://recht.nulegal.eu/gesetze/AusbEignMedPharmV/1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