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AusbDienstLArbbV5</w:t>
      </w:r>
    </w:p>
    <w:p>
      <w:r>
        <w:rPr>
          <w:color w:val="555555"/>
          <w:sz w:val="18"/>
        </w:rPr>
        <w:t xml:space="preserve">Fünfte Aus- und Weiterbildungsdienstleistungenarbeitsbedingungenverordnung</w:t>
      </w:r>
    </w:p>
    <w:p>
      <w:r>
        <w:rPr>
          <w:color w:val="555555"/>
          <w:sz w:val="18"/>
        </w:rPr>
        <w:t xml:space="preserve">Historische Fassung: Stand 10.06.2019 bis 01.01.2023. Dies ist nicht die aktuelle Fassung.</w:t>
      </w:r>
    </w:p>
    <w:p>
      <w:r>
        <w:t xml:space="preserve">Auf Grund des § 7 Absatz 1 und 2 in Verbindung mit Absatz 4 des Arbeitnehmer-Entsendegesetzes, dessen Absätze 1 und 4 durch Artikel 6 Nummer 6 Buchstabe b und c des Gesetzes vom 11. August 2014 (BGBl. I S. 1348) geändert worden sind, verordnet das Bundesministerium für Arbeit und Soziales, nachdem es den in den Geltungsbereich dieser Verordnung fallenden Arbeitgebern, Arbeitnehmern und Arbeitnehmerinnen,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AusbDienstLArbbV5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https://recht.nulegal.eu/gesetze/AusbDienstLArbbV5/eingangsformel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