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AusbBerAufhV — Besitzstandswahrung</w:t>
      </w:r>
    </w:p>
    <w:p>
      <w:r>
        <w:rPr>
          <w:color w:val="555555"/>
          <w:sz w:val="18"/>
        </w:rPr>
        <w:t xml:space="preserve">Verordnung über die Aufhebung der Anerkennung von Ausbildungsberufen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Personen, die vor Inkrafttreten der Verordnung in einem der in § 1 genannten Ausbildungsberufe ausgebildet worden sind oder im Zeitpunkt des Inkrafttretens der Verordnung darin ausgebildet werden und diese Berufsausbildung gemäß § 25 Abs. 3 des Berufsbildungsgesetzes fortsetzen, bleiben in ihrem Ausbildungsstatus unberührt.</w:t>
      </w:r>
    </w:p>
    <w:p>
      <w:r>
        <w:rPr>
          <w:color w:val="555555"/>
          <w:sz w:val="17"/>
        </w:rPr>
        <w:t xml:space="preserve">Zitiervorschlag: § 2 AusbBerAufhV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https://recht.nulegal.eu/gesetze/AusbBerAufhV/2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