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AusbBerAufhV 3 — Besitzstandswahrung</w:t>
      </w:r>
    </w:p>
    <w:p>
      <w:r>
        <w:rPr>
          <w:color w:val="555555"/>
          <w:sz w:val="18"/>
        </w:rPr>
        <w:t xml:space="preserve">Dritte Verordnung über die Aufhebung der Anerkennung von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Personen, die vor Inkrafttreten dieser Verordnung in dem in § 1 genannten Ausbildungsberuf ausgebildet worden sind oder im Zeitpunkt des Inkrafttretens dieser Verordnung darin ausgebildet werden und diese Berufsausbildung nach § 4 Absatz 4 des Berufsbildungsgesetzes fortsetzen, bleiben in ihrem Ausbildungsstatus unberührt.</w:t>
      </w:r>
    </w:p>
    <w:p>
      <w:r>
        <w:rPr>
          <w:color w:val="555555"/>
          <w:sz w:val="17"/>
        </w:rPr>
        <w:t xml:space="preserve">Zitiervorschlag: § 2 AusbBerAufhV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https://recht.nulegal.eu/gesetze/AusbBerAufhV%203/2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