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AusbAnerkAufhV — Inkrafttreten</w:t>
      </w:r>
    </w:p>
    <w:p>
      <w:r>
        <w:rPr>
          <w:color w:val="555555"/>
          <w:sz w:val="18"/>
        </w:rPr>
        <w:t xml:space="preserve">Verordnung über die Aufhebung der staatlichen Anerkennung von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AusbAnerkAufhV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https://recht.nulegal.eu/gesetze/AusbAnerkAufhV/3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