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AugenoptAusbV — Staatliche Anerkennung des Ausbildungsberufes</w:t>
      </w:r>
    </w:p>
    <w:p>
      <w:r>
        <w:rPr>
          <w:color w:val="555555"/>
          <w:sz w:val="18"/>
        </w:rPr>
        <w:t xml:space="preserve">Augenoptiker-Ausbildungsverordnung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Augenoptikers und der Augenoptikerin wird nach § 25 der Handwerksordnung zur Ausbildung für das Gewerbe Nummer 33 der Anlage A der Handwerksordnung staatlich anerkannt.</w:t>
      </w:r>
    </w:p>
    <w:p>
      <w:r>
        <w:rPr>
          <w:color w:val="555555"/>
          <w:sz w:val="17"/>
        </w:rPr>
        <w:t xml:space="preserve">Zitiervorschlag: § 1 AugenoptAusbV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https://recht.nulegal.eu/gesetze/AugenoptAusbV/1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