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AugStG (Bayern)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31. Juli 2018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