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AugStG (Bayern) — Stiftungszweck</w:t>
      </w:r>
    </w:p>
    <w:p>
      <w:r>
        <w:rPr>
          <w:color w:val="555555"/>
          <w:sz w:val="18"/>
        </w:rPr>
        <w:t xml:space="preserve">Gesetz über die Stiftung Staatstheater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Zweck der Stiftung ist die Förderung der darstellenden Kunst. Zu diesem Zweck betreibt sie das frühere städtische Theater Augsburg als „Staatstheater Augsburg“.</w:t>
      </w:r>
    </w:p>
    <w:p>
      <w:r>
        <w:t xml:space="preserve">(2) Die Stiftung ist selbstlos tätig und verfolgt nicht in erster Linie eigenwirtschaftliche Zwecke. Die Stiftung verfolgt ausschließlich und unmittelbar gemeinnützige Zwecke im Sinne des Abschnitts Steuerbegünstigte Zwecke der Abgabenordnung.</w:t>
      </w:r>
    </w:p>
    <w:p>
      <w:r>
        <w:rPr>
          <w:color w:val="555555"/>
          <w:sz w:val="17"/>
        </w:rPr>
        <w:t xml:space="preserve">Zitiervorschlag: Art 2 AugStG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https://recht.nulegal.eu/gesetze/AugStG/2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