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AugOptMstrV 2026 — Begriffsbestimmungen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eine augenoptische Anamnese das systematische Erfragen der für die Leistungserbringung im Augenoptiker-Handwerk relevanten Informationen, insbesondere für</w:t>
      </w:r>
    </w:p>
    <w:p>
      <w:pPr>
        <w:ind w:left="780"/>
      </w:pPr>
      <w:r>
        <w:t xml:space="preserve">a) eine Refraktionsbestimmung,</w:t>
      </w:r>
    </w:p>
    <w:p>
      <w:pPr>
        <w:ind w:left="780"/>
      </w:pPr>
      <w:r>
        <w:t xml:space="preserve">b) eine Korrektionsbestimmung,</w:t>
      </w:r>
    </w:p>
    <w:p>
      <w:pPr>
        <w:ind w:left="780"/>
      </w:pPr>
      <w:r>
        <w:t xml:space="preserve">c) eine optometrische Untersuchung oder</w:t>
      </w:r>
    </w:p>
    <w:p>
      <w:pPr>
        <w:ind w:left="780"/>
      </w:pPr>
      <w:r>
        <w:t xml:space="preserve">d) eine Versorgung mit Sehhilfen,</w:t>
      </w:r>
    </w:p>
    <w:p>
      <w:pPr>
        <w:ind w:left="420"/>
      </w:pPr>
      <w:r>
        <w:t xml:space="preserve">2. ein Eingangstest ein orientierender Test zur Prüfung visueller und okulärer Funktionen, insbesondere der Motilitätstest, der Cover-Uncover-Test, die Messung des Konvergenznahpunktes sowie der Pupillenreaktionstest,</w:t>
      </w:r>
    </w:p>
    <w:p>
      <w:pPr>
        <w:ind w:left="420"/>
      </w:pPr>
      <w:r>
        <w:t xml:space="preserve">3. eine Refraktionsbestimmung die Grundlage für die Beurteilung der Sehleistung, bestehend aus</w:t>
      </w:r>
    </w:p>
    <w:p>
      <w:pPr>
        <w:ind w:left="780"/>
      </w:pPr>
      <w:r>
        <w:t xml:space="preserve">a) der objektiven Refraktionsbestimmung,</w:t>
      </w:r>
    </w:p>
    <w:p>
      <w:pPr>
        <w:ind w:left="780"/>
      </w:pPr>
      <w:r>
        <w:t xml:space="preserve">b) der subjektiven Refraktionsbestimmung,</w:t>
      </w:r>
    </w:p>
    <w:p>
      <w:pPr>
        <w:ind w:left="780"/>
      </w:pPr>
      <w:r>
        <w:t xml:space="preserve">c) dem monokularen Feinabgleich unter binokularen Bedingungen,</w:t>
      </w:r>
    </w:p>
    <w:p>
      <w:pPr>
        <w:ind w:left="780"/>
      </w:pPr>
      <w:r>
        <w:t xml:space="preserve">d) der Prüfung auf Refraktionsgleichgewicht,</w:t>
      </w:r>
    </w:p>
    <w:p>
      <w:pPr>
        <w:ind w:left="780"/>
      </w:pPr>
      <w:r>
        <w:t xml:space="preserve">e) der Bestimmung des Visus mit der ermittelten refraktiven Korrektion,</w:t>
      </w:r>
    </w:p>
    <w:p>
      <w:pPr>
        <w:ind w:left="780"/>
      </w:pPr>
      <w:r>
        <w:t xml:space="preserve">f) der Bestimmung des Nahzusatzes sowie</w:t>
      </w:r>
    </w:p>
    <w:p>
      <w:pPr>
        <w:ind w:left="780"/>
      </w:pPr>
      <w:r>
        <w:t xml:space="preserve">g) dem Ableiten der Korrektionswerte für eine Sehhilfenverordnung,</w:t>
      </w:r>
    </w:p>
    <w:p>
      <w:pPr>
        <w:ind w:left="420"/>
      </w:pPr>
      <w:r>
        <w:t xml:space="preserve">4. ein Kostenträger eine natürliche oder juristische Person, welche die Kosten für die Leistungen der Augenoptikerin oder des Augenoptikers übernimmt.</w:t>
      </w:r>
    </w:p>
    <w:p>
      <w:r>
        <w:rPr>
          <w:color w:val="555555"/>
          <w:sz w:val="17"/>
        </w:rPr>
        <w:t xml:space="preserve">Zitiervorschlag: § 2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