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AugOptMstrV 2026 — Allgemeine Prüfungs- und Verfahrensregelungen, weitere Regelungen zur Meisterprüfung</w:t>
      </w:r>
    </w:p>
    <w:p>
      <w:r>
        <w:rPr>
          <w:color w:val="555555"/>
          <w:sz w:val="18"/>
        </w:rPr>
        <w:t xml:space="preserve">Augenoptikermeisterverordnung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(1) Die Vorschriften der Meisterprüfungsverfahrensverordnung bleiben unberührt.</w:t>
      </w:r>
    </w:p>
    <w:p>
      <w:r>
        <w:t xml:space="preserve">(2) Die Prüfung in den Teilen III und IV der Meisterprüfung bestimmt sich nach der Allgemeinen Meisterprüfungsverordnung.</w:t>
      </w:r>
    </w:p>
    <w:p>
      <w:r>
        <w:rPr>
          <w:color w:val="555555"/>
          <w:sz w:val="17"/>
        </w:rPr>
        <w:t xml:space="preserve">Zitiervorschlag: § 14 AugOptMstrV 2026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https://recht.nulegal.eu/gesetze/AugOptMstrV%202026/14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