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AufsRatAbkCHEG</w:t>
      </w:r>
    </w:p>
    <w:p>
      <w:r>
        <w:rPr>
          <w:color w:val="555555"/>
          <w:sz w:val="18"/>
        </w:rPr>
        <w:t xml:space="preserve">Gesetz zu dem Vertrag zwischen der Bundesrepublik Deutschland und der Schweizerischen Eidgenossenschaft über die Regelung von Fragen, welche die Aufsichtsräte der in der Bundesrepublik Deutschland zum Betrieb von Grenzkraftwerken am Rhein errichteten Aktiengesellschaften betreffen</w:t>
      </w:r>
    </w:p>
    <w:p>
      <w:r>
        <w:rPr>
          <w:color w:val="555555"/>
          <w:sz w:val="18"/>
        </w:rPr>
        <w:t xml:space="preserve">Stand: 10.06.2019 (konsolidierte Textfassung, kein amtliches Inkrafttretensdatum)</w:t>
      </w:r>
    </w:p>
    <w:p>
      <w:r>
        <w:t xml:space="preserve">Die Arbeitnehmervertreter erhalten keine andere Vergütung als eine von der Hauptversammlung festzusetzende Aufwandsentschädigung. Notwendige Versäumnis von Arbeitszeit infolge der Teilnahme an den Sitzungen berechtigt nicht zur Minderung des Arbeitsentgelts.</w:t>
      </w:r>
    </w:p>
    <w:p>
      <w:r>
        <w:rPr>
          <w:color w:val="555555"/>
          <w:sz w:val="17"/>
        </w:rPr>
        <w:t xml:space="preserve">Zitiervorschlag: § 3 AufsRatAbkCHEG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https://recht.nulegal.eu/gesetze/AufsRatAbkCHEG/3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