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 AufnG (Bayern) — Inkrafttreten, Außerkrafttreten</w:t>
      </w:r>
    </w:p>
    <w:p>
      <w:r>
        <w:rPr>
          <w:color w:val="555555"/>
          <w:sz w:val="18"/>
        </w:rPr>
        <w:t xml:space="preserve">Aufnahmegesetz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Dieses Gesetz tritt am 1. Juli 2002 in Kraft. Abweichend von Satz 1 treten Art. 5 Abs. 2 und 3 am 1. Juni 2002 in Kraft.</w:t>
      </w:r>
    </w:p>
    <w:p>
      <w:r>
        <w:t xml:space="preserve">(2) Mit Ablauf des 31. Oktober 2022 treten die Art. 7 und 10a außer Kraft.</w:t>
      </w:r>
    </w:p>
    <w:p>
      <w:r>
        <w:rPr>
          <w:color w:val="555555"/>
          <w:sz w:val="17"/>
        </w:rPr>
        <w:t xml:space="preserve">Zitiervorschlag: Art 11 AufnG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https://recht.nulegal.eu/gesetze/AufnG/11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