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AufnG (Bayern) — Allgemeines</w:t>
      </w:r>
    </w:p>
    <w:p>
      <w:r>
        <w:rPr>
          <w:color w:val="555555"/>
          <w:sz w:val="18"/>
        </w:rPr>
        <w:t xml:space="preserve">Aufnahmegesetz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gilt für die Aufnahme, Unterbringung und landesinterne Verteilung von Ausländern, die nach § 1 des Asylbewerberleistungsgesetzes (AsylbLG) leistungsberechtigt sind.</w:t>
      </w:r>
    </w:p>
    <w:p>
      <w:r>
        <w:t xml:space="preserve">(2) Bei der Ausführung dieses Gesetzes sind die besonderen Belange schutzbedürftiger Personen im Sinne des Art. 21 der Richtlinie 2013/33/EU sowie des § 44 Abs. 2a des Asylgesetzes (AsylG) zu berücksichtigen.</w:t>
      </w:r>
    </w:p>
    <w:p>
      <w:r>
        <w:rPr>
          <w:color w:val="555555"/>
          <w:sz w:val="17"/>
        </w:rPr>
        <w:t xml:space="preserve">Zitiervorschlag: Art 1 AufnG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https://recht.nulegal.eu/gesetze/AufnG/1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