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AufhRiVbV (Bayern)</w:t>
      </w:r>
    </w:p>
    <w:p>
      <w:r>
        <w:rPr>
          <w:color w:val="555555"/>
          <w:sz w:val="18"/>
        </w:rPr>
        <w:t xml:space="preserve">Verordnung zur Aufhebung von Richtervorbehalten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von § 19 Abs. 1 Satz 1 Nr. 1 des Rechtspflegergesetzes (RPflG) vom 5. November 1969 (BGBl I S. 2065), zuletzt geändert durch Art. 2 Abs. 1 des Gesetzes vom 18. August 2005 (BGBl I S. 2477), in Verbindung mit § 3 Nr. 30 der Verordnung über die Zuständigkeit zum Erlass von Rechtsverordnungen (Delegationsverordnung – DelV) vom 15. Juni 2004 (GVBl S. 239, BayRS 103-2-S), zuletzt geändert durch Verordnung vom 31. Januar 2006 (GVBl S. 115), erlässt das Bayerische Staatsministerium der Justiz folgende Verordnung:</w:t>
      </w:r>
    </w:p>
    <w:p>
      <w:r>
        <w:rPr>
          <w:color w:val="555555"/>
          <w:sz w:val="17"/>
        </w:rPr>
        <w:t xml:space="preserve">Zitiervorschlag: Eingangsformel AufhRiVbV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https://recht.nulegal.eu/gesetze/AufhRiVbV/eingangsformel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