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AufhRiVbV (Bayern) — Inkrafttreten</w:t>
      </w:r>
    </w:p>
    <w:p>
      <w:r>
        <w:rPr>
          <w:color w:val="555555"/>
          <w:sz w:val="18"/>
        </w:rPr>
        <w:t xml:space="preserve">Verordnung zur Aufhebung von Richtervorbehalten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2006 in Kraft.</w:t>
      </w:r>
    </w:p>
    <w:p>
      <w:r>
        <w:rPr>
          <w:color w:val="555555"/>
          <w:sz w:val="17"/>
        </w:rPr>
        <w:t xml:space="preserve">Zitiervorschlag: § 3 AufhRiVbV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https://recht.nulegal.eu/gesetze/AufhRiVbV/3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AufhRiVbV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