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2a AufhRiVbV (Bayern) — Übergangsvorschriften</w:t>
      </w:r>
    </w:p>
    <w:p>
      <w:r>
        <w:rPr>
          <w:color w:val="555555"/>
          <w:sz w:val="18"/>
        </w:rPr>
        <w:t xml:space="preserve">Verordnung zur Aufhebung von Richtervorbehalten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Dem Richter bleiben zugewiesen:</w:t>
      </w:r>
    </w:p>
    <w:p>
      <w:r>
        <w:t xml:space="preserve">1. am 31. Dezember 2013 anhängige Verfahren in den Fällen des § 2 Abs. 1 Nr. 1 bis 3,</w:t>
      </w:r>
    </w:p>
    <w:p>
      <w:r>
        <w:t xml:space="preserve">2. am 31. August 2015 anhängige Verfahren in den Fällen des § 2 Abs. 1 Nr. 4.</w:t>
      </w:r>
    </w:p>
    <w:p>
      <w:r>
        <w:rPr>
          <w:color w:val="555555"/>
          <w:sz w:val="17"/>
        </w:rPr>
        <w:t xml:space="preserve">Zitiervorschlag: § 2a AufhRiVbV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https://recht.nulegal.eu/gesetze/AufhRiVbV/2a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