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AufhFG — Zweck und Mittelverwendung des Fonds</w:t>
      </w:r>
    </w:p>
    <w:p>
      <w:r>
        <w:rPr>
          <w:color w:val="555555"/>
          <w:sz w:val="18"/>
        </w:rPr>
        <w:t xml:space="preserve">Aufbauhilfefondsgesetz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Fonds dient der Leistung von Hilfen in den vom Hochwasser vom August 2002 betroffenen Ländern zur Beseitigung der Hochwasserschäden und zum Wiederaufbau der zerstörten Regionen.</w:t>
      </w:r>
    </w:p>
    <w:p>
      <w:r>
        <w:t xml:space="preserve">(2) Aus den Mitteln des Fonds werden Maßnahmen</w:t>
      </w:r>
    </w:p>
    <w:p>
      <w:pPr>
        <w:ind w:left="420"/>
      </w:pPr>
      <w:r>
        <w:t xml:space="preserve">1. für geschädigte Privathaushalte und Unternehmen, soweit nicht Versicherungen oder sonstige Dritte Entschädigungen leisten,</w:t>
      </w:r>
    </w:p>
    <w:p>
      <w:pPr>
        <w:ind w:left="420"/>
      </w:pPr>
      <w:r>
        <w:t xml:space="preserve">2. zur Wiederherstellung der Infrastruktur der betroffenen Länder und Gemeinden,</w:t>
      </w:r>
    </w:p>
    <w:p>
      <w:pPr>
        <w:ind w:left="420"/>
      </w:pPr>
      <w:r>
        <w:t xml:space="preserve">3. zur Wiederherstellung der Infrastruktur des Bundes</w:t>
      </w:r>
    </w:p>
    <w:p>
      <w:r>
        <w:t xml:space="preserve">finanziert.</w:t>
      </w:r>
    </w:p>
    <w:p>
      <w:r>
        <w:t xml:space="preserve">(3) Bei der Verteilung der Mittel und der Gewährung der Hilfen sind die unterschiedlichen Schadensbelastungen der Betroffenen zu berücksichtigen.</w:t>
      </w:r>
    </w:p>
    <w:p>
      <w:r>
        <w:t xml:space="preserve">(4) Der Fonds stellt den vom Hochwasser betroffenen Ländern einen Betrag in Höhe von 3,593 Milliarden Euro pauschal zur Verwendung im Rahmen der Zweckbindung zur Verfügung.</w:t>
      </w:r>
    </w:p>
    <w:p>
      <w:r>
        <w:t xml:space="preserve">(5) Bund und die jeweiligen Länder tragen in den Fällen des Absatzes 2 Nr. 1 und 2 bei gemeinsam finanzierten Programmen jeweils die Hälfte der Ausgaben, soweit in anderen Gesetzen oder in der zu diesem Gesetz erlassenen Rechtsverordnung keine abweichenden Regelungen getroffen sind.</w:t>
      </w:r>
    </w:p>
    <w:p>
      <w:r>
        <w:t xml:space="preserve">(6) Die Bundesregierung wird ermächtigt, mit Zustimmung des Bundesrates eine Rechtsverordnung, insbesondere zur Regelung der Verteilung der Mittel und zur näheren Durchführung zu erlassen.</w:t>
      </w:r>
    </w:p>
    <w:p>
      <w:r>
        <w:rPr>
          <w:color w:val="555555"/>
          <w:sz w:val="17"/>
        </w:rPr>
        <w:t xml:space="preserve">Zitiervorschlag: § 2 AufhFG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https://recht.nulegal.eu/gesetze/AufhFG/2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