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E AufenthV — Technische Richtlinien des Bundesamtes für Sicherheit in der Informationstechnik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(Fundstelle: BGBl. 2024 I Nr. 152, S. 24)</w:t>
      </w:r>
    </w:p>
    <w:p>
      <w:pPr>
        <w:ind w:left="420"/>
      </w:pPr>
      <w:r>
        <w:t xml:space="preserve">1. BSI TR-03121 – Biometrics for Public Sector Applications</w:t>
      </w:r>
    </w:p>
    <w:p>
      <w:pPr>
        <w:ind w:left="420"/>
      </w:pPr>
      <w:r>
        <w:t xml:space="preserve">2. BSI-TR 03135 – Machine Authentication of MRTDs for Public Sector Applications</w:t>
      </w:r>
    </w:p>
    <w:p>
      <w:pPr>
        <w:ind w:left="420"/>
      </w:pPr>
      <w:r>
        <w:t xml:space="preserve">3. BSI-TR 03156 – Hoheitliches Identitätsmanagement in Verbindung mit EU-Informationssystemen</w:t>
      </w:r>
    </w:p>
    <w:p>
      <w:r>
        <w:rPr>
          <w:color w:val="555555"/>
          <w:sz w:val="17"/>
        </w:rPr>
        <w:t xml:space="preserve">Zitiervorschlag: Anlage E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https://recht.nulegal.eu/gesetze/AufenthV/anlage-e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