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D7b AufenthV — Vorläufiger Reiseausweis für Flüchtlinge nach § 4 Abs. 1 Satz 2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Fundstelle BGBl. I 2007, 2083 - 2091)</w:t>
      </w:r>
    </w:p>
    <w:p>
      <w:r>
        <w:t xml:space="preserve">- Deckseiten - [Abbildung]</w:t>
      </w:r>
    </w:p>
    <w:p>
      <w:r>
        <w:t xml:space="preserve">– Vorsatz und Innenseite 1 – [Abbildung] Die Seiten 1 bis 32 und die hintere Passdecke werden am unteren Rand mit der Dokumentennummer versehen.</w:t>
      </w:r>
    </w:p>
    <w:p>
      <w:r>
        <w:t xml:space="preserve">– Innenseiten 2 und 3 – [Abbildung]</w:t>
      </w:r>
    </w:p>
    <w:p>
      <w:r>
        <w:t xml:space="preserve">– Innenseiten 4 und 5 – [Abbildung]</w:t>
      </w:r>
    </w:p>
    <w:p>
      <w:r>
        <w:t xml:space="preserve">– Innenseiten 6 bis 11 – [Abbildung] Seiten 6 bis 11 gleichlautend.</w:t>
      </w:r>
    </w:p>
    <w:p>
      <w:r>
        <w:t xml:space="preserve">– Innenseiten 12 bis 31 – [Abbildung] Seiten 12 bis 31 gleichlautend.</w:t>
      </w:r>
    </w:p>
    <w:p>
      <w:r>
        <w:t xml:space="preserve">– Innenseite 32 und Vorsatz – [Abbildung]</w:t>
      </w:r>
    </w:p>
    <w:p>
      <w:r>
        <w:t xml:space="preserve">– Aufkleber für die Personendaten, der auf den Seiten 2 und 3 des Reiseausweises aufgeklebt wird – [Abbildung]</w:t>
      </w:r>
    </w:p>
    <w:p>
      <w:r>
        <w:t xml:space="preserve">– Verlängerungsaufkleber, der auf unbenutzten Doppelseiten, vorzugsweise den Seiten 6 bis 11, aufzukleben ist; Überklebungen sind nicht zulässig – [Abbildung]</w:t>
      </w:r>
    </w:p>
    <w:p>
      <w:r>
        <w:rPr>
          <w:color w:val="555555"/>
          <w:sz w:val="17"/>
        </w:rPr>
        <w:t xml:space="preserve">Zitiervorschlag: Anlage D7b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