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 AufenthV — Übergangsregelung zur Führung von Ausländerdateien</w:t>
      </w:r>
    </w:p>
    <w:p>
      <w:r>
        <w:rPr>
          <w:color w:val="555555"/>
          <w:sz w:val="18"/>
        </w:rPr>
        <w:t xml:space="preserve">Aufenthaltsverordnung</w:t>
      </w:r>
    </w:p>
    <w:p>
      <w:r>
        <w:rPr>
          <w:color w:val="555555"/>
          <w:sz w:val="18"/>
        </w:rPr>
        <w:t xml:space="preserve">Stand: 10.06.2019 (konsolidierte Textfassung, kein amtliches Inkrafttretensdatum)</w:t>
      </w:r>
    </w:p>
    <w:p>
      <w:r>
        <w:t xml:space="preserve">(1) Bis zum 31. Dezember 2004 gespeicherte Angaben zu ausländerrechtlichen Maßnahmen und Entscheidungen bleiben auch nach Inkrafttreten des Aufenthaltsgesetzes und des Freizügigkeitsgesetzes/EU in der Ausländerdatei gespeichert. Nach dem Aufenthaltsgesetz und dem Freizügigkeitsgesetz/EU zulässige neue Maßnahmen und Entscheidungen sind erst zu speichern, wenn diese im Einzelfall getroffen werden.</w:t>
      </w:r>
    </w:p>
    <w:p>
      <w:r>
        <w:t xml:space="preserve">(2) Ausländerbehörden können bis zum 31. Dezember 2005 Maßnahmen und Entscheidungen, für die noch keine entsprechenden Kennungen eingerichtet sind, unter bestehenden Kennungen speichern. Es dürfen nur Kennungen genutzt werden, die sich auf Maßnahmen und Entscheidungen beziehen, die ab dem 1. Januar 2005 nicht mehr getroffen werden.</w:t>
      </w:r>
    </w:p>
    <w:p>
      <w:r>
        <w:t xml:space="preserve">(3) Die Ausländerbehörden haben beim Datenabruf der jeweiligen Maßnahme oder Entscheidung festzustellen, ob diese nach dem bisherigen Recht oder auf Grund des Aufenthaltsgesetzes oder des Freizügigkeitsgesetzes/EU erfolgt ist.</w:t>
      </w:r>
    </w:p>
    <w:p>
      <w:r>
        <w:t xml:space="preserve">(4) Die Ausländerbehörden sind verpflichtet, die nach Absatz 2 gespeicherten Daten spätestens am 31. Dezember 2005 auf die neuen Speichersachverhalte umzuschreiben.</w:t>
      </w:r>
    </w:p>
    <w:p>
      <w:r>
        <w:rPr>
          <w:color w:val="555555"/>
          <w:sz w:val="17"/>
        </w:rPr>
        <w:t xml:space="preserve">Zitiervorschlag: § 82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