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AufenthV — Weitergeltung von nach bisherigem Recht ausgestellten Passersatzpapieren</w:t>
      </w:r>
    </w:p>
    <w:p>
      <w:r>
        <w:rPr>
          <w:color w:val="555555"/>
          <w:sz w:val="18"/>
        </w:rPr>
        <w:t xml:space="preserve">Aufenthaltsverordnung</w:t>
      </w:r>
    </w:p>
    <w:p>
      <w:r>
        <w:rPr>
          <w:color w:val="555555"/>
          <w:sz w:val="18"/>
        </w:rPr>
        <w:t xml:space="preserve">Stand: 10.06.2019 (konsolidierte Textfassung, kein amtliches Inkrafttretensdatum)</w:t>
      </w:r>
    </w:p>
    <w:p>
      <w:r>
        <w:t xml:space="preserve">(1) Es behalten die auf Grund des zum Zeitpunkt der Ausstellung geltenden Rechts ausgestellten</w:t>
      </w:r>
    </w:p>
    <w:p>
      <w:pPr>
        <w:ind w:left="420"/>
      </w:pPr>
      <w:r>
        <w:t xml:space="preserve">1. Reiseausweise für Flüchtlinge nach § 14 Abs. 2 Nr. 1 der Verordnung zur Durchführung des Ausländergesetzes und Reiseausweise für Staatenlose nach § 14 Abs. 2 Nr. 2 der Verordnung zur Durchführung des Ausländergesetzes,</w:t>
      </w:r>
    </w:p>
    <w:p>
      <w:pPr>
        <w:ind w:left="420"/>
      </w:pPr>
      <w:r>
        <w:t xml:space="preserve">2. Grenzgängerkarten nach § 14 Abs. 1 Nr. 2 der Verordnung zur Durchführung des Ausländergesetzes in Verbindung mit § 19 der Verordnung zur Durchführung des Ausländergesetzes,</w:t>
      </w:r>
    </w:p>
    <w:p>
      <w:pPr>
        <w:ind w:left="420"/>
      </w:pPr>
      <w:r>
        <w:t xml:space="preserve">3. Eintragungen in Schülersammellisten (§ 1 Abs. 5) und Standardreisedokumente für die Rückführung nach § 1 Absatz 8 in der bis einschließlich 7. April 2017 geltenden Fassung,</w:t>
      </w:r>
    </w:p>
    <w:p>
      <w:pPr>
        <w:ind w:left="420"/>
      </w:pPr>
      <w:r>
        <w:t xml:space="preserve">4. Reiseausweise für Ausländer, die nach dem in Anlage D4b abgedruckten Muster ausgestellt wurden,</w:t>
      </w:r>
    </w:p>
    <w:p>
      <w:pPr>
        <w:ind w:left="420"/>
      </w:pPr>
      <w:r>
        <w:t xml:space="preserve">5. Reiseausweise für Ausländer, die nach dem in Anlage D4a abgedruckten Muster mit einem Gültigkeitszeitraum von mehr als einem Jahr ausgestellt wurden,</w:t>
      </w:r>
    </w:p>
    <w:p>
      <w:pPr>
        <w:ind w:left="420"/>
      </w:pPr>
      <w:r>
        <w:t xml:space="preserve">6. Reiseausweise für Staatenlose, die nach dem in Anlage D8 abgedruckten Muster mit einem Gültigkeitszeitraum von mehr als einem Jahr ausgestellt wurden,</w:t>
      </w:r>
    </w:p>
    <w:p>
      <w:pPr>
        <w:ind w:left="420"/>
      </w:pPr>
      <w:r>
        <w:t xml:space="preserve">7. Reiseausweise für Flüchtlinge, die nach dem in Anlage D7 abgedruckten Muster mit einem Gültigkeitszeitraum von mehr als einem Jahr ausgestellt wurden, und</w:t>
      </w:r>
    </w:p>
    <w:p>
      <w:pPr>
        <w:ind w:left="420"/>
      </w:pPr>
      <w:r>
        <w:t xml:space="preserve">8. Grenzgängerkarten, die nach dem in Anlage D5 abgedruckten Muster ausgestellt wurden,</w:t>
      </w:r>
    </w:p>
    <w:p>
      <w:r>
        <w:t xml:space="preserve">für den jeweiligen Gültigkeitszeitraum ihre Geltung.</w:t>
      </w:r>
    </w:p>
    <w:p>
      <w:r>
        <w:t xml:space="preserve">(2) Zudem gelten weiter die auf Grund des vor dem Inkrafttreten dieser Verordnung geltenden Rechts ausgestellten oder erteilten</w:t>
      </w:r>
    </w:p>
    <w:p>
      <w:pPr>
        <w:ind w:left="420"/>
      </w:pPr>
      <w:r>
        <w:t xml:space="preserve">1. Reisedokumente nach § 14 Abs. 1 Nr. 1 der Verordnung zur Durchführung des Ausländergesetzes in Verbindung mit den §§ 15 bis 18 der Verordnung zur Durchführung des Ausländergesetzes als Reiseausweise für Ausländer nach dieser Verordnung,</w:t>
      </w:r>
    </w:p>
    <w:p>
      <w:pPr>
        <w:ind w:left="420"/>
      </w:pPr>
      <w:r>
        <w:t xml:space="preserve">2. Reiseausweise als Passersatz, die Ausländern nach § 14 Abs. 1 Nr. 3 der Verordnung zur Durchführung des Ausländergesetzes in Verbindung mit § 20 der Verordnung zur Durchführung des Ausländergesetzes ausgestellt wurden, als Notreiseausweise nach dieser Verordnung,</w:t>
      </w:r>
    </w:p>
    <w:p>
      <w:pPr>
        <w:ind w:left="420"/>
      </w:pPr>
      <w:r>
        <w:t xml:space="preserve">3. Befreiungen von der Passpflicht in Verbindung mit der Bescheinigung der Rückkehrberechtigung nach § 24 der Verordnung zur Durchführung des Ausländergesetzes auf dem Ausweisersatz nach § 39 Abs. 1 des Ausländergesetzes als Notreiseausweise nach dieser Verordnung, auf denen nach dieser Verordnung die Rückkehrberechtigung bescheinigt wurde,</w:t>
      </w:r>
    </w:p>
    <w:p>
      <w:pPr>
        <w:ind w:left="420"/>
      </w:pPr>
      <w:r>
        <w:t xml:space="preserve">4. Passierscheine nach § 14 Abs. 1 Nr. 4 der Verordnung zur Durchführung des Ausländergesetzes, die nach § 21 Abs. 1 der Verordnung zur Durchführung des Ausländergesetzes an Flugpersonal ausgestellt wurden, und Landgangsausweise nach § 14 Abs. 1 Nr. 5 der Verordnung zur Durchführung des Ausländergesetzes, die nach § 21 Abs. 1 Satz 1 der Verordnung zur Durchführung des Ausländergesetzes an Besatzungsmitglieder eines in der See- oder Küstenschifffahrt oder in der Rhein-Seeschifffahrt verkehrenden Schiffes ausgestellt wurden, als Passierscheine und zugleich als Notreiseausweise nach dieser Verordnung und</w:t>
      </w:r>
    </w:p>
    <w:p>
      <w:pPr>
        <w:ind w:left="420"/>
      </w:pPr>
      <w:r>
        <w:t xml:space="preserve">5. Grenzkarten, die bisher nach den Voraussetzungen ausgestellt wurden, die in Artikel 7 Abs. 2, Artikel 13 Abs. 2, Artikel 28 Abs. 1 und Artikel 32 Abs. 2 des Anhangs I zum Abkommen vom 21. Juni 1999 zwischen der Europäischen Gemeinschaft und ihren Mitgliedstaaten einerseits und der Schweizerischen Eidgenossenschaft andererseits über die Freizügigkeit genannt sind, als Grenzgängerkarten nach dieser Verordnung.</w:t>
      </w:r>
    </w:p>
    <w:p>
      <w:r>
        <w:t xml:space="preserve">(3) Der Gültigkeitszeitraum, der räumliche Geltungsbereich und der Berechtigungsgehalt der in den Absätzen 1 und 2 genannten Ausweise bestimmt sich nach den jeweils in ihnen enthaltenen Einträgen sowie dem Recht, das zum Zeitpunkt der Ausstellung des jeweiligen Ausweises galt.</w:t>
      </w:r>
    </w:p>
    <w:p>
      <w:r>
        <w:t xml:space="preserve">(4) Die Entziehung der in den Absätzen 1 und 2 genannten Ausweise und die nachträgliche Eintragung von Beschränkungen richten sich ausschließlich nach den Vorschriften dieser Verordnung. Hat ein Vordruck nach Absatz 1 Nr. 1 und 2 sowie nach Absatz 2 seine Gültigkeit behalten, darf er dennoch nicht mehr für eine Verlängerung verwendet werden.</w:t>
      </w:r>
    </w:p>
    <w:p>
      <w:r>
        <w:t xml:space="preserve">(5) Die in den Absätzen 1 und 2 genannten Ausweise können von Amts wegen entzogen werden, wenn dem Ausländer anstelle des bisherigen Ausweises ein Passersatz oder Ausweisersatz nach dieser Verordnung ausgestellt wird, dessen Berechtigungsgehalt demjenigen des bisherigen Ausweises zumindest entspricht, und die Voraussetzungen für die Ausstellung des neuen Passersatzes oder Ausweisersatzes vorliegen. Anstelle der Einziehung eines Ausweisersatzes, auf dem die Rückkehrberechtigung bescheinigt war, kann bei der Neuausstellung eines Notreiseausweises die Bescheinigung der Rückkehrberechtigung auf dem Ausweisersatz amtlich als ungültig vermerkt und der Ausweisersatz dem Ausländer belassen werden. Absatz 4 bleibt unberührt.</w:t>
      </w:r>
    </w:p>
    <w:p>
      <w:r>
        <w:t xml:space="preserve">(6) Andere als die in den Absätzen 1 und 2 genannten, von deutschen Behörden ausgestellten Passersatzpapiere verlieren nach Ablauf von einem Monat nach Inkrafttreten dieser Verordnung ihre Gültigkeit.</w:t>
      </w:r>
    </w:p>
    <w:p>
      <w:r>
        <w:rPr>
          <w:color w:val="555555"/>
          <w:sz w:val="17"/>
        </w:rPr>
        <w:t xml:space="preserve">Zitiervorschlag: § 81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