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79 AufenthV — Anwendung auf Freizügigkeitsberechtigte</w:t>
      </w:r>
    </w:p>
    <w:p>
      <w:r>
        <w:rPr>
          <w:color w:val="555555"/>
          <w:sz w:val="18"/>
        </w:rPr>
        <w:t xml:space="preserve">Aufenthaltsverordnung</w:t>
      </w:r>
    </w:p>
    <w:p>
      <w:r>
        <w:rPr>
          <w:color w:val="555555"/>
          <w:sz w:val="18"/>
        </w:rPr>
        <w:t xml:space="preserve">Stand: 04.08.2026 (konsolidierte Textfassung, kein amtliches Inkrafttretensdatum)</w:t>
      </w:r>
    </w:p>
    <w:p>
      <w:r>
        <w:t xml:space="preserve">Die in Kapitel 2 Abschnitt 1, Kapitel 3, § 56, Kapitel 5 mit Ausnahme von § 61a Absatz 3 sowie in den §§ 81 und 82 enthaltenen Regelungen finden auch Anwendung auf Ausländer, deren Rechtsstellung durch das Freizügigkeitsgesetz/EU geregelt ist.</w:t>
      </w:r>
    </w:p>
    <w:p>
      <w:r>
        <w:rPr>
          <w:color w:val="555555"/>
          <w:sz w:val="17"/>
        </w:rPr>
        <w:t xml:space="preserve">Zitiervorschlag: § 79 AufenthV</w:t>
      </w:r>
    </w:p>
    <w:p>
      <w:r>
        <w:rPr>
          <w:color w:val="555555"/>
          <w:sz w:val="17"/>
        </w:rPr>
        <w:t xml:space="preserve">Quelle: Bundesamt für Justiz, abgerufen 04.08.2026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https://recht.nulegal.eu/gesetze/AufenthV/79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