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AufenthV — Ordnungswidrigkeiten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98 Abs. 3 Nr. 7 des Aufenthaltsgesetzes handelt, wer vorsätzlich oder fahrlässig</w:t>
      </w:r>
    </w:p>
    <w:p>
      <w:pPr>
        <w:ind w:left="420"/>
      </w:pPr>
      <w:r>
        <w:t xml:space="preserve">1. entgegen § 38c eine Mitteilung nicht, nicht richtig, nicht vollständig, nicht in der vorgeschriebenen Weise oder nicht rechtzeitig macht,</w:t>
      </w:r>
    </w:p>
    <w:p>
      <w:pPr>
        <w:ind w:left="420"/>
      </w:pPr>
      <w:r>
        <w:t xml:space="preserve">2. entgegen § 56 Abs. 1 Nr. 1 bis 3 oder 4 einen Antrag nicht oder nicht rechtzeitig stellt,</w:t>
      </w:r>
    </w:p>
    <w:p>
      <w:pPr>
        <w:ind w:left="420"/>
      </w:pPr>
      <w:r>
        <w:t xml:space="preserve">3. entgegen § 56 Abs. 1 Nr. 5 oder Abs. 2 Satz 1 eine Anzeige nicht, nicht richtig, nicht vollständig oder nicht rechtzeitig erstattet,</w:t>
      </w:r>
    </w:p>
    <w:p>
      <w:pPr>
        <w:ind w:left="420"/>
      </w:pPr>
      <w:r>
        <w:t xml:space="preserve">4. entgegen § 56 Abs. 1 Nr. 6 oder 7 oder § 57 eine dort genannte Urkunde nicht oder nicht rechtzeitig vorlegt,</w:t>
      </w:r>
    </w:p>
    <w:p>
      <w:pPr>
        <w:ind w:left="420"/>
      </w:pPr>
      <w:r>
        <w:t xml:space="preserve">5. entgegen § 57a Nummer 1 eine Anzeige nicht, nicht richtig, nicht vollständig oder nicht rechtzeitig erstattet oder ein Dokument nicht oder nicht rechtzeitig vorlegt oder</w:t>
      </w:r>
    </w:p>
    <w:p>
      <w:pPr>
        <w:ind w:left="420"/>
      </w:pPr>
      <w:r>
        <w:t xml:space="preserve">6. entgegen § 57a Nummer 2 ein Dokument nicht oder nicht rechtzeitig vorlegt oder die Neuausstellung nicht oder nicht rechtzeitig beantragt.</w:t>
      </w:r>
    </w:p>
    <w:p>
      <w:r>
        <w:rPr>
          <w:color w:val="555555"/>
          <w:sz w:val="17"/>
        </w:rPr>
        <w:t xml:space="preserve">Zitiervorschlag: § 77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