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76b AufenthV — Technische Richtlinien des Bundesamtes für Sicherheit in der Informationstechnik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nach § 49 des Aufenthaltsgesetzes zuständigen Behörden haben die Einhaltung des Stands der Technik zu gewährleisten bei</w:t>
      </w:r>
    </w:p>
    <w:p>
      <w:pPr>
        <w:ind w:left="420"/>
      </w:pPr>
      <w:r>
        <w:t xml:space="preserve">1. der Erfassung des Lichtbildes und der Fingerabdrücke,</w:t>
      </w:r>
    </w:p>
    <w:p>
      <w:pPr>
        <w:ind w:left="420"/>
      </w:pPr>
      <w:r>
        <w:t xml:space="preserve">2. der Qualitätssicherung des Lichtbildes und der Fingerabdrücke,</w:t>
      </w:r>
    </w:p>
    <w:p>
      <w:pPr>
        <w:ind w:left="420"/>
      </w:pPr>
      <w:r>
        <w:t xml:space="preserve">3. der maschinellen Echtheitsprüfung von ausländischen Ausweis- oder Identifikationsdokumenten sowie</w:t>
      </w:r>
    </w:p>
    <w:p>
      <w:pPr>
        <w:ind w:left="420"/>
      </w:pPr>
      <w:r>
        <w:t xml:space="preserve">4. der Erhebung von anonymisierten Einzeldaten zur Sicherung des Sicherheits- und Qualitätsniveaus.</w:t>
      </w:r>
    </w:p>
    <w:p>
      <w:r>
        <w:t xml:space="preserve">(2) Die Einhaltung des Stands der Technik wird vermutet, wenn die Prozesse nach den in Anlage E genannten Technischen Richtlinien des Bundesamtes für Sicherheit in der Informationstechnik in der jeweils zuletzt im Bundesanzeiger veröffentlichten Fassung durchgeführt wurden.</w:t>
      </w:r>
    </w:p>
    <w:p>
      <w:r>
        <w:t xml:space="preserve">(3) Sofern die jeweils zuletzt im Bundesanzeiger veröffentlichte Technische Richtlinie eine Zertifizierung beim Bundesamt für Sicherheit in der Informationstechnik vorsieht, ist diese für folgende Systemkomponenten erforderlich:</w:t>
      </w:r>
    </w:p>
    <w:p>
      <w:pPr>
        <w:ind w:left="420"/>
      </w:pPr>
      <w:r>
        <w:t xml:space="preserve">1. für Hardware zur Erfassung des Lichtbildes,</w:t>
      </w:r>
    </w:p>
    <w:p>
      <w:pPr>
        <w:ind w:left="420"/>
      </w:pPr>
      <w:r>
        <w:t xml:space="preserve">2. für Hardware zur Erfassung der Fingerabdrücke,</w:t>
      </w:r>
    </w:p>
    <w:p>
      <w:pPr>
        <w:ind w:left="420"/>
      </w:pPr>
      <w:r>
        <w:t xml:space="preserve">3. für Software zur Erfassung und Qualitätssicherung des Lichtbildes,</w:t>
      </w:r>
    </w:p>
    <w:p>
      <w:pPr>
        <w:ind w:left="420"/>
      </w:pPr>
      <w:r>
        <w:t xml:space="preserve">4. für Software zur Erfassung und Qualitätssicherung der Fingerabdruckdaten,</w:t>
      </w:r>
    </w:p>
    <w:p>
      <w:pPr>
        <w:ind w:left="420"/>
      </w:pPr>
      <w:r>
        <w:t xml:space="preserve">5. für Hardware zur Prüfung von Dokumenten und</w:t>
      </w:r>
    </w:p>
    <w:p>
      <w:pPr>
        <w:ind w:left="420"/>
      </w:pPr>
      <w:r>
        <w:t xml:space="preserve">6. für Software zur Prüfung von Dokumenten.</w:t>
      </w:r>
    </w:p>
    <w:p>
      <w:r>
        <w:t xml:space="preserve">In Sonderlagen kann im Einvernehmen mit dem Bundesamt für Sicherheit in der Informationstechnik übergangsweise vom Verfahren nach den Absätzen 2 und 3 abgewichen werden.</w:t>
      </w:r>
    </w:p>
    <w:p>
      <w:r>
        <w:rPr>
          <w:color w:val="555555"/>
          <w:sz w:val="17"/>
        </w:rPr>
        <w:t xml:space="preserve">Zitiervorschlag: § 76b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