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73 AufenthV — Mitteilungen der Staatsangehörigkeits- und Bescheinigungsbehörden nach § 15 des Bundesvertriebenengesetzes</w:t>
      </w:r>
    </w:p>
    <w:p>
      <w:r>
        <w:rPr>
          <w:color w:val="555555"/>
          <w:sz w:val="18"/>
        </w:rPr>
        <w:t xml:space="preserve">Aufenthaltsverordnung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Staatsangehörigkeitsbehörden teilen den Ausländerbehörden mit</w:t>
      </w:r>
    </w:p>
    <w:p>
      <w:pPr>
        <w:ind w:left="420"/>
      </w:pPr>
      <w:r>
        <w:t xml:space="preserve">1. den Erwerb der deutschen Staatsangehörigkeit durch den Ausländer,</w:t>
      </w:r>
    </w:p>
    <w:p>
      <w:pPr>
        <w:ind w:left="420"/>
      </w:pPr>
      <w:r>
        <w:t xml:space="preserve">2. die Feststellung der Rechtsstellung als Deutscher ohne deutsche Staatsangehörigkeit,</w:t>
      </w:r>
    </w:p>
    <w:p>
      <w:pPr>
        <w:ind w:left="420"/>
      </w:pPr>
      <w:r>
        <w:t xml:space="preserve">3. den Verlust der Rechtsstellung als Deutscher und</w:t>
      </w:r>
    </w:p>
    <w:p>
      <w:pPr>
        <w:ind w:left="420"/>
      </w:pPr>
      <w:r>
        <w:t xml:space="preserve">4. die Feststellung, dass eine Person zu Unrecht als Deutscher, fremder Staatsangehöriger oder Staatenloser geführt worden ist.</w:t>
      </w:r>
    </w:p>
    <w:p>
      <w:r>
        <w:t xml:space="preserve">Die Mitteilung nach Satz 1 Nr. 2 entfällt bei Personen, die mit einem Aufnahmebescheid nach dem Bundesvertriebenengesetz eingereist sind.</w:t>
      </w:r>
    </w:p>
    <w:p>
      <w:r>
        <w:t xml:space="preserve">(2) Die Bescheinigungsbehörden nach § 15 des Bundesvertriebenengesetzes teilen den Ausländerbehörden die Ablehnung der Ausstellung einer Bescheinigung nach § 15 Abs. 1 oder 2 des Bundesvertriebenengesetzes mit.</w:t>
      </w:r>
    </w:p>
    <w:p>
      <w:r>
        <w:rPr>
          <w:color w:val="555555"/>
          <w:sz w:val="17"/>
        </w:rPr>
        <w:t xml:space="preserve">Zitiervorschlag: § 73 AufenthV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https://recht.nulegal.eu/gesetze/AufenthV/73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