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AufenthV — Löschung</w:t>
      </w:r>
    </w:p>
    <w:p>
      <w:r>
        <w:rPr>
          <w:color w:val="555555"/>
          <w:sz w:val="18"/>
        </w:rPr>
        <w:t xml:space="preserve">Aufenthaltsverordnung</w:t>
      </w:r>
    </w:p>
    <w:p>
      <w:r>
        <w:rPr>
          <w:color w:val="555555"/>
          <w:sz w:val="18"/>
        </w:rPr>
        <w:t xml:space="preserve">Stand: 27.07.2021 (konsolidierte Textfassung, kein amtliches Inkrafttretensdatum)</w:t>
      </w:r>
    </w:p>
    <w:p>
      <w:r>
        <w:t xml:space="preserve">(1) In der Ausländerdatei A sind die Daten eines Ausländers zu löschen, wenn sie nach § 67 Abs. 1 in die Ausländerdatei B übernommen werden. Die nur aus Anlass der Zustimmung zur Visumerteilung aufgenommenen Daten eines Ausländers sind zu löschen, wenn der Ausländer nicht innerhalb von zwei Jahren nach Ablauf der Geltungsdauer der Zustimmung eingereist ist.</w:t>
      </w:r>
    </w:p>
    <w:p>
      <w:r>
        <w:t xml:space="preserve">(2) Die Daten eines Ausländers, der ausgewiesen, zurückgeschoben oder abgeschoben wurde, sind in der Ausländerdatei B zu löschen, wenn die Unterlagen über die Ausweisung und die Abschiebung nach § 91 Abs. 1 des Aufenthaltsgesetzes zu vernichten sind. Im Übrigen sind die Daten eines Ausländers in der Ausländerdatei B zehn Jahre nach Übernahme der Daten zu löschen. Im Fall des § 67 Absatz 1 Nummer 1 sollen die Daten fünf Jahre nach Übernahme des Datensatzes gelöscht werden.</w:t>
      </w:r>
    </w:p>
    <w:p>
      <w:r>
        <w:rPr>
          <w:color w:val="555555"/>
          <w:sz w:val="17"/>
        </w:rPr>
        <w:t xml:space="preserve">Zitiervorschlag: § 68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