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AufenthV — Ausländerdatei B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64 in die Ausländerdatei A aufgenommenen Daten sind in die Ausländerdatei B zu übernehmen, wenn der Ausländer</w:t>
      </w:r>
    </w:p>
    <w:p>
      <w:pPr>
        <w:ind w:left="420"/>
      </w:pPr>
      <w:r>
        <w:t xml:space="preserve">1. gestorben,</w:t>
      </w:r>
    </w:p>
    <w:p>
      <w:pPr>
        <w:ind w:left="420"/>
      </w:pPr>
      <w:r>
        <w:t xml:space="preserve">2. aus dem Bezirk der Ausländerbehörde fortgezogen ist oder</w:t>
      </w:r>
    </w:p>
    <w:p>
      <w:pPr>
        <w:ind w:left="420"/>
      </w:pPr>
      <w:r>
        <w:t xml:space="preserve">3. die Rechtsstellung eines Deutschen im Sinne des Artikels 116 Absatz 1 des Grundgesetzes erworben hat.</w:t>
      </w:r>
    </w:p>
    <w:p>
      <w:r>
        <w:t xml:space="preserve">(2) Der Grund für die Übernahme der Daten in die Ausländerdatei B ist in dem Dateisystem zu vermerken. In dem Dateisystem ist auch die Abgabe der Ausländerakte an eine andere Ausländerbehörde unter Angabe der Empfängerbehörde zu vermerken.</w:t>
      </w:r>
    </w:p>
    <w:p>
      <w:r>
        <w:t xml:space="preserve">(3) Im Fall des Absatzes 1 Nr. 2 können auch die in § 65 genannten Daten in die Ausländerdatei B übernommen werden.</w:t>
      </w:r>
    </w:p>
    <w:p>
      <w:r>
        <w:rPr>
          <w:color w:val="555555"/>
          <w:sz w:val="17"/>
        </w:rPr>
        <w:t xml:space="preserve">Zitiervorschlag: § 67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