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AufenthV — Datensatz der Ausländerdatei A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die Ausländerdatei A sind über jeden Ausländer, der in dem Dateisystem geführt wird, folgende Daten aufzunehmen:</w:t>
      </w:r>
    </w:p>
    <w:p>
      <w:pPr>
        <w:ind w:left="420"/>
      </w:pPr>
      <w:r>
        <w:t xml:space="preserve">1. Familienname,</w:t>
      </w:r>
    </w:p>
    <w:p>
      <w:pPr>
        <w:ind w:left="420"/>
      </w:pPr>
      <w:r>
        <w:t xml:space="preserve">2. Geburtsname,</w:t>
      </w:r>
    </w:p>
    <w:p>
      <w:pPr>
        <w:ind w:left="420"/>
      </w:pPr>
      <w:r>
        <w:t xml:space="preserve">3. Vornamen,</w:t>
      </w:r>
    </w:p>
    <w:p>
      <w:pPr>
        <w:ind w:left="420"/>
      </w:pPr>
      <w:r>
        <w:t xml:space="preserve">4. Tag und Ort mit Angabe des Staates der Geburt,</w:t>
      </w:r>
    </w:p>
    <w:p>
      <w:pPr>
        <w:ind w:left="420"/>
      </w:pPr>
      <w:r>
        <w:t xml:space="preserve">5. Geschlecht,</w:t>
      </w:r>
    </w:p>
    <w:p>
      <w:pPr>
        <w:ind w:left="420"/>
      </w:pPr>
      <w:r>
        <w:t xml:space="preserve">6. Doktorgrad,</w:t>
      </w:r>
    </w:p>
    <w:p>
      <w:pPr>
        <w:ind w:left="420"/>
      </w:pPr>
      <w:r>
        <w:t xml:space="preserve">7. Staatsangehörigkeiten,</w:t>
      </w:r>
    </w:p>
    <w:p>
      <w:pPr>
        <w:ind w:left="420"/>
      </w:pPr>
      <w:r>
        <w:t xml:space="preserve">8. Aktenzeichen der Ausländerakte,</w:t>
      </w:r>
    </w:p>
    <w:p>
      <w:pPr>
        <w:ind w:left="420"/>
      </w:pPr>
      <w:r>
        <w:t xml:space="preserve">9. Hinweis auf andere Datensätze, unter denen der Ausländer in dem Dateisystem geführt wird,</w:t>
      </w:r>
    </w:p>
    <w:p>
      <w:pPr>
        <w:ind w:left="420"/>
      </w:pPr>
      <w:r>
        <w:t xml:space="preserve">10. das Sperrkennwort und die Sperrsumme für die Sperrung oder Entsperrung des elektronischen Identitätsnachweises eines Dokuments nach § 78 Absatz 1 des Aufenthaltsgesetzes und</w:t>
      </w:r>
    </w:p>
    <w:p>
      <w:pPr>
        <w:ind w:left="420"/>
      </w:pPr>
      <w:r>
        <w:t xml:space="preserve">11. Angaben zur Ausschaltung und Einschaltung sowie Sperrung und Entsperrung des elektronischen Identitätsnachweises eines Dokuments nach § 78 Absatz 1 des Aufenthaltsgesetzes.</w:t>
      </w:r>
    </w:p>
    <w:p>
      <w:r>
        <w:t xml:space="preserve">(2) Aufzunehmen sind ferner frühere Namen, abweichende Namensschreibweisen, Aliaspersonalien und andere von dem Ausländer geführte Namen wie Ordens- oder Künstlernamen oder der Familienname nach deutschem Recht, der von dem im Pass eingetragenen Familiennamen abweicht.</w:t>
      </w:r>
    </w:p>
    <w:p>
      <w:r>
        <w:t xml:space="preserve">(3) Die Ausländerbehörde kann den Datensatz auf die in Absatz 1 genannten Daten beschränken und für die in Absatz 2 genannten Daten jeweils einen zusätzlichen Datensatz nach Maßgabe des Absatzes 1 einrichten.</w:t>
      </w:r>
    </w:p>
    <w:p>
      <w:r>
        <w:rPr>
          <w:color w:val="555555"/>
          <w:sz w:val="17"/>
        </w:rPr>
        <w:t xml:space="preserve">Zitiervorschlag: § 64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