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 AufenthV — Sicherheitsstandard, Ausstellungstechnik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27.06.2020 (konsolidierte Textfassung, kein amtliches Inkrafttretensdatum)</w:t>
      </w:r>
    </w:p>
    <w:p>
      <w:r>
        <w:t xml:space="preserve">(1) Die produktions- und sicherheitstechnischen Spezifikationen für die nach dieser Verordnung bestimmten Vordruckmuster werden vom Bundesministerium des Innern, für Bau und Heimat festgelegt. Sie werden nicht veröffentlicht.</w:t>
      </w:r>
    </w:p>
    <w:p>
      <w:r>
        <w:t xml:space="preserve">(2) Einzelheiten zum technischen Verfahren für das Ausfüllen der bundeseinheitlichen Vordrucke werden vom Bundesministerium des Innern, für Bau und Heimat festgelegt und bekannt gemacht.</w:t>
      </w:r>
    </w:p>
    <w:p>
      <w:r>
        <w:rPr>
          <w:color w:val="555555"/>
          <w:sz w:val="17"/>
        </w:rPr>
        <w:t xml:space="preserve">Zitiervorschlag: § 61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