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AufenthV — Befreiung und Ermäßigung aus Billigkeitsgründen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(1) Ausländer, die ihren Lebensunterhalt nicht ohne Inanspruchnahme von Leistungen nach dem Zweiten oder Zwölften Buch Sozialgesetzbuch oder dem Asylbewerberleistungsgesetz bestreiten können, sind von den Gebühren nach</w:t>
      </w:r>
    </w:p>
    <w:p>
      <w:pPr>
        <w:ind w:left="420"/>
      </w:pPr>
      <w:r>
        <w:t xml:space="preserve">1. § 45 Nr. 1 und 2 für die Erteilung oder Verlängerung der Aufenthaltserlaubnis,</w:t>
      </w:r>
    </w:p>
    <w:p>
      <w:pPr>
        <w:ind w:left="420"/>
      </w:pPr>
      <w:r>
        <w:t xml:space="preserve">2. § 47 Abs. 1 Nr. 5 und 6 für die Ausstellung oder Erneuerung der Bescheinigung über die Aussetzung der Abschiebung (§ 60a Abs. 4 des Aufenthaltsgesetzes),</w:t>
      </w:r>
    </w:p>
    <w:p>
      <w:pPr>
        <w:ind w:left="420"/>
      </w:pPr>
      <w:r>
        <w:t xml:space="preserve">3. § 47 Abs. 1 Nr. 3 und 7 für die Aufhebung oder Änderung einer Auflage zur Aufenthaltserlaubnis oder zur Aussetzung der Abschiebung,</w:t>
      </w:r>
    </w:p>
    <w:p>
      <w:pPr>
        <w:ind w:left="420"/>
      </w:pPr>
      <w:r>
        <w:t xml:space="preserve">4. § 47 Abs. 1 Nr. 4 für den Hinweis in Form der Beratung,</w:t>
      </w:r>
    </w:p>
    <w:p>
      <w:pPr>
        <w:ind w:left="420"/>
      </w:pPr>
      <w:r>
        <w:t xml:space="preserve">5. § 47 Abs. 1 Nr. 8 für die Ausstellung einer Fiktionsbescheinigung,</w:t>
      </w:r>
    </w:p>
    <w:p>
      <w:pPr>
        <w:ind w:left="420"/>
      </w:pPr>
      <w:r>
        <w:t xml:space="preserve">6. § 47 Abs. 1 Nr. 10 für die Ausstellung des Aufenthaltstitels auf besonderem Blatt,</w:t>
      </w:r>
    </w:p>
    <w:p>
      <w:pPr>
        <w:ind w:left="420"/>
      </w:pPr>
      <w:r>
        <w:t xml:space="preserve">7. § 47 Abs. 1 Nr. 11 für die Übertragung eines Aufenthaltstitels in ein anderes Dokument und § 45c Absatz 1 Nummer 1 und 2 für die Neuausstellung eines Dokuments nach § 78 Absatz 1 des Aufenthaltsgesetzes,</w:t>
      </w:r>
    </w:p>
    <w:p>
      <w:pPr>
        <w:ind w:left="420"/>
      </w:pPr>
      <w:r>
        <w:t xml:space="preserve">8. § 48 Abs. 1 Nr. 10 und 12 für die Erteilung und Verlängerung eines Ausweisersatzes und</w:t>
      </w:r>
    </w:p>
    <w:p>
      <w:pPr>
        <w:ind w:left="420"/>
      </w:pPr>
      <w:r>
        <w:t xml:space="preserve">9. § 49 Abs. 2 für die Bearbeitung von Anträgen auf Vornahme der in den Nummern 1 bis 3 und 6 bis 8 bezeichneten Amtshandlungen</w:t>
      </w:r>
    </w:p>
    <w:p>
      <w:r>
        <w:t xml:space="preserve">befreit; sonstige Gebühren können ermäßigt oder von ihrer Erhebung kann abgesehen werden.</w:t>
      </w:r>
    </w:p>
    <w:p>
      <w:r>
        <w:t xml:space="preserve">(2) Gebühren können ermäßigt oder von ihrer Erhebung kann abgesehen werden, wenn es mit Rücksicht auf die wirtschaftlichen Verhältnisse des Gebührenpflichtigen in Deutschland geboten ist.</w:t>
      </w:r>
    </w:p>
    <w:p>
      <w:r>
        <w:rPr>
          <w:color w:val="555555"/>
          <w:sz w:val="17"/>
        </w:rPr>
        <w:t xml:space="preserve">Zitiervorschlag: § 53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