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AufenthV — Vergünstigung für Angehörige bestimmter Staaten</w:t>
      </w:r>
    </w:p>
    <w:p>
      <w:r>
        <w:rPr>
          <w:color w:val="555555"/>
          <w:sz w:val="18"/>
        </w:rPr>
        <w:t xml:space="preserve">Aufenthaltsverordnung</w:t>
      </w:r>
    </w:p>
    <w:p>
      <w:r>
        <w:rPr>
          <w:color w:val="555555"/>
          <w:sz w:val="18"/>
        </w:rPr>
        <w:t xml:space="preserve">Stand: 01.01.2021 (konsolidierte Textfassung, kein amtliches Inkrafttretensdatum)</w:t>
      </w:r>
    </w:p>
    <w:p>
      <w:r>
        <w:t xml:space="preserve">(1) Staatsangehörige von Australien, Israel, Japan, Kanada, der Republik Korea, von Neuseeland, des Vereinigten Königreichs Großbritannien und Nordirland im Sinne des § 1 Absatz 2 Nummer 6 des Freizügigkeitsgesetzes/EU und der Vereinigten Staaten von Amerika können auch für einen Aufenthalt, der kein Kurzaufenthalt ist, visumfrei in das Bundesgebiet einreisen und sich darin aufhalten. Ein erforderlicher Aufenthaltstitel kann im Bundesgebiet eingeholt werden.</w:t>
      </w:r>
    </w:p>
    <w:p>
      <w:r>
        <w:t xml:space="preserve">(2) Dasselbe gilt für Staatsangehörige von Andorra, Brasilien, El Salvador, Honduras, Monaco und San Marino, die keine Erwerbstätigkeit mit Ausnahme der in § 17 Abs. 2 genannten Tätigkeiten ausüben wollen.</w:t>
      </w:r>
    </w:p>
    <w:p>
      <w:r>
        <w:t xml:space="preserve">(3) Ein erforderlicher Aufenthaltstitel ist innerhalb von 90 Tagen nach der Einreise zu beantragen. Die Antragsfrist endet vorzeitig, wenn der Ausländer ausgewiesen wird oder sein Aufenthalt nach § 12 Abs. 4 des Aufenthaltsgesetzes zeitlich beschränkt wird.</w:t>
      </w:r>
    </w:p>
    <w:p>
      <w:r>
        <w:t xml:space="preserve">(4) Die Absätze 1 bis 3 gelten nicht, wenn eine ICT-Karte nach § 19 des Aufenthaltsgesetzes beantragt wird.</w:t>
      </w:r>
    </w:p>
    <w:p>
      <w:r>
        <w:rPr>
          <w:color w:val="555555"/>
          <w:sz w:val="17"/>
        </w:rPr>
        <w:t xml:space="preserve">Zitiervorschlag: § 41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