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AufenthV — Verlängerung eines visumfreien Kurzaufenthalts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Staatsangehörige der in Anhang II der Verordnung (EU) 2018/1806 aufgeführten Staaten können nach der Einreise eine Aufenthaltserlaubnis für einen weiteren Aufenthalt von längstens 90 Tagen, der sich an einen Kurzaufenthalt anschließt, einholen, wenn</w:t>
      </w:r>
    </w:p>
    <w:p>
      <w:pPr>
        <w:ind w:left="420"/>
      </w:pPr>
      <w:r>
        <w:t xml:space="preserve">1. ein Ausnahmefall im Sinne des Artikels 20 Abs. 2 des Schengener Durchführungsübereinkommens vorliegt und</w:t>
      </w:r>
    </w:p>
    <w:p>
      <w:pPr>
        <w:ind w:left="420"/>
      </w:pPr>
      <w:r>
        <w:t xml:space="preserve">2. der Ausländer im Bundesgebiet keine Erwerbstätigkeit mit Ausnahme der in § 17 Abs. 2 genannten Tätigkeiten ausübt.</w:t>
      </w:r>
    </w:p>
    <w:p>
      <w:r>
        <w:rPr>
          <w:color w:val="555555"/>
          <w:sz w:val="17"/>
        </w:rPr>
        <w:t xml:space="preserve">Zitiervorschlag: § 40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