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38b AufenthV — Aufhebung der Anerkennung</w:t>
      </w:r>
    </w:p>
    <w:p>
      <w:r>
        <w:rPr>
          <w:color w:val="555555"/>
          <w:sz w:val="18"/>
        </w:rPr>
        <w:t xml:space="preserve">Aufenthaltsverordnung</w:t>
      </w:r>
    </w:p>
    <w:p>
      <w:r>
        <w:rPr>
          <w:color w:val="555555"/>
          <w:sz w:val="18"/>
        </w:rPr>
        <w:t xml:space="preserve">Stand: 05.04.2020 (konsolidierte Textfassung, kein amtliches Inkrafttretensdatum)</w:t>
      </w:r>
    </w:p>
    <w:p>
      <w:r>
        <w:t xml:space="preserve">(1) Die Anerkennung ist zu widerrufen oder die Verlängerung ist abzulehnen, wenn die Forschungseinrichtung</w:t>
      </w:r>
    </w:p>
    <w:p>
      <w:pPr>
        <w:ind w:left="420"/>
      </w:pPr>
      <w:r>
        <w:t xml:space="preserve">1. keine Forschung mehr betreibt,</w:t>
      </w:r>
    </w:p>
    <w:p>
      <w:pPr>
        <w:ind w:left="420"/>
      </w:pPr>
      <w:r>
        <w:t xml:space="preserve">2. erklärt, eine nach § 18d Absatz 1 Satz 1 Nummer 2 des Aufenthaltsgesetzes abgegebene Erklärung nicht mehr erfüllen zu wollen oder</w:t>
      </w:r>
    </w:p>
    <w:p>
      <w:pPr>
        <w:ind w:left="420"/>
      </w:pPr>
      <w:r>
        <w:t xml:space="preserve">3. eine Verpflichtung nach § 18d Absatz 1 Satz 1 Nummer 2 des Aufenthaltsgesetzes nicht mehr erfüllen kann, weil sie nicht mehr leistungsfähig ist, insbesondere weil über ihr Vermögen das Insolvenzverfahren eröffnet, die Eröffnung des Insolvenzverfahrens mangels Masse abgelehnt wird oder eine vergleichbare Entscheidung ausländischen Rechts getroffen wurde.</w:t>
      </w:r>
    </w:p>
    <w:p>
      <w:r>
        <w:t xml:space="preserve">Hat die Forschungseinrichtung ihre Anerkennung durch arglistige Täuschung, Drohung, Gewalt oder Bestechung erlangt, ist die Anerkennung zurückzunehmen.</w:t>
      </w:r>
    </w:p>
    <w:p>
      <w:r>
        <w:t xml:space="preserve">(2) Die Anerkennung kann widerrufen werden, wenn die Forschungseinrichtung schuldhaft Aufnahmevereinbarungen unterzeichnet hat, obwohl die in § 38f genannten Voraussetzungen nicht vorlagen.</w:t>
      </w:r>
    </w:p>
    <w:p>
      <w:r>
        <w:t xml:space="preserve">(3) Zusammen mit der Entscheidung über die Aufhebung der Anerkennung aus den in Absatz 1 Satz 1 Nr. 2 oder 3, in Absatz 1 Satz 2 oder in Absatz 2 genannten Gründen wird ein Zeitraum bestimmt, währenddessen eine erneute Anerkennung der Forschungseinrichtung nicht zulässig ist (Sperrfrist). Die Sperrfrist darf höchstens fünf Jahre betragen. Sie gilt auch für abhängige Einrichtungen oder Nachfolgeeinrichtungen der Forschungseinrichtung.</w:t>
      </w:r>
    </w:p>
    <w:p>
      <w:r>
        <w:t xml:space="preserve">(4) Die Ausländerbehörden und die Auslandsvertretungen haben dem Bundesamt für Migration und Flüchtlinge alle ihnen bekannten Tatsachen mitzuteilen, die Anlass für die Aufhebung der Anerkennung einer Forschungseinrichtung geben könnten.</w:t>
      </w:r>
    </w:p>
    <w:p>
      <w:r>
        <w:rPr>
          <w:color w:val="555555"/>
          <w:sz w:val="17"/>
        </w:rPr>
        <w:t xml:space="preserve">Zitiervorschlag: § 38b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https://recht.nulegal.eu/gesetze/AufenthV/38b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