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AufenthV — Befreiung für die Durchreise und Durchbeförderung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Für die Einreise in das Bundesgebiet aus einem anderen Schengen-Staat und einen anschließenden Aufenthalt von bis zu drei Tagen sind Ausländer vom Erfordernis eines Aufenthaltstitels befreit, wenn sie</w:t>
      </w:r>
    </w:p>
    <w:p>
      <w:pPr>
        <w:ind w:left="420"/>
      </w:pPr>
      <w:r>
        <w:t xml:space="preserve">1. auf Grund einer zwischenstaatlichen Vereinbarung über die Gestattung der Durchreise durch das Bundesgebiet reisen, oder</w:t>
      </w:r>
    </w:p>
    <w:p>
      <w:pPr>
        <w:ind w:left="420"/>
      </w:pPr>
      <w:r>
        <w:t xml:space="preserve">2. auf Grund einer zwischenstaatlichen Vereinbarung oder mit Einwilligung des Bundesministeriums des Innern, für Bau und Heimat oder der von ihm beauftragten Stelle durch das Bundesgebiet durchbefördert werden; in diesem Fall gilt die Befreiung auch für die sie begleitenden Aufsichtspersonen.</w:t>
      </w:r>
    </w:p>
    <w:p>
      <w:r>
        <w:rPr>
          <w:color w:val="555555"/>
          <w:sz w:val="17"/>
        </w:rPr>
        <w:t xml:space="preserve">Zitiervorschlag: § 30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