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AufenthV — Transit ohne Einreise; Flughafentransitvisum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Ausländer, die sich im Bundesgebiet befinden, ohne im Sinne des § 13 Abs. 2 des Aufenthaltsgesetzes einzureisen, sind vom Erfordernis eines Aufenthaltstitels befreit.</w:t>
      </w:r>
    </w:p>
    <w:p>
      <w:r>
        <w:t xml:space="preserve">(2) Das Erfordernis einer Genehmigung für das Betreten des Transitbereichs eines Flughafens während einer Zwischenlandung oder zum Umsteigen (Flughafentransitvisum) gilt für Personen, die auf Grund von Artikel 3 Absatz 1 in Verbindung mit Absatz 5 der Verordnung (EG) Nr. 810/2009 des Europäischen Parlaments und des Rates vom 13. Juli 2009 über einen Visakodex der Gemeinschaft (ABl. L 243 vom 15.9.2009, S. 1) ein Flughafentransitvisum benötigen, sowie für Staatsangehörige der in Anlage C genannten Staaten, sofern diese nicht nach Artikel 3 Absatz 5 der Verordnung (EG) Nr. 810/2009 von der Flughafentransitvisumpflicht befreit sind. Soweit danach das Erfordernis eines Flughafentransitvisums besteht, gilt die Befreiung nach Absatz 1 nur, wenn der Ausländer ein Flughafentransitvisum besitzt. Das Flughafentransitvisum ist kein Aufenthaltstitel.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26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