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AufenthV — Befreiung in der internationalen zivilen Binnenschifffahrt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Ausländer, die</w:t>
      </w:r>
    </w:p>
    <w:p>
      <w:pPr>
        <w:ind w:left="420"/>
      </w:pPr>
      <w:r>
        <w:t xml:space="preserve">1. auf einem von einem Unternehmen mit Sitz im Hoheitsgebiet eines Schengen-Staates betriebenen Schiff in der grenzüberschreitenden Binnenschifffahrt tätig sind,</w:t>
      </w:r>
    </w:p>
    <w:p>
      <w:pPr>
        <w:ind w:left="420"/>
      </w:pPr>
      <w:r>
        <w:t xml:space="preserve">2. im Besitz eines gültigen Aufenthaltstitels des Staates sind, in dem das Unternehmen seinen Sitz hat und dort der Aufenthaltstitel die Tätigkeit in der Binnenschifffahrt erlaubt und</w:t>
      </w:r>
    </w:p>
    <w:p>
      <w:pPr>
        <w:ind w:left="420"/>
      </w:pPr>
      <w:r>
        <w:t xml:space="preserve">3. in die Besatzungsliste dieses Schiffes eingetragen sind,</w:t>
      </w:r>
    </w:p>
    <w:p>
      <w:r>
        <w:t xml:space="preserve">sind für die Einreise und für Aufenthalte bis zu sechs Monaten innerhalb eines Zeitraums von zwölf Monaten seit der ersten Einreise vom Erfordernis eines Aufenthaltstitels befreit.</w:t>
      </w:r>
    </w:p>
    <w:p>
      <w:r>
        <w:t xml:space="preserve">(2) Ausländer, die</w:t>
      </w:r>
    </w:p>
    <w:p>
      <w:pPr>
        <w:ind w:left="420"/>
      </w:pPr>
      <w:r>
        <w:t xml:space="preserve">1. auf einem von einem Unternehmen mit Sitz im Ausland betriebenen Schiff in der Donauschifffahrt einschließlich der Schifffahrt auf dem Main-Donau-Kanal tätig sind,</w:t>
      </w:r>
    </w:p>
    <w:p>
      <w:pPr>
        <w:ind w:left="420"/>
      </w:pPr>
      <w:r>
        <w:t xml:space="preserve">2. in die Besatzungsliste dieses Schiffes eingetragen sind und</w:t>
      </w:r>
    </w:p>
    <w:p>
      <w:pPr>
        <w:ind w:left="420"/>
      </w:pPr>
      <w:r>
        <w:t xml:space="preserve">3. einen Binnenschifffahrtsausweis besitzen,</w:t>
      </w:r>
    </w:p>
    <w:p>
      <w:r>
        <w:t xml:space="preserve">sind für die Einreise und für Aufenthalte bis zu 90 Tagen innerhalb eines Zeitraums von zwölf Monaten seit der ersten Einreise vom Erfordernis eines Aufenthaltstitels befreit.</w:t>
      </w:r>
    </w:p>
    <w:p>
      <w:r>
        <w:t xml:space="preserve">(3) Die Befreiung nach Absatz 1 und 2 gilt für die Einreise und den Aufenthalt</w:t>
      </w:r>
    </w:p>
    <w:p>
      <w:pPr>
        <w:ind w:left="420"/>
      </w:pPr>
      <w:r>
        <w:t xml:space="preserve">1. an Bord,</w:t>
      </w:r>
    </w:p>
    <w:p>
      <w:pPr>
        <w:ind w:left="420"/>
      </w:pPr>
      <w:r>
        <w:t xml:space="preserve">2. im Gebiet eines Liegehafens und einer nahe gelegenen Gemeinde und</w:t>
      </w:r>
    </w:p>
    <w:p>
      <w:pPr>
        <w:ind w:left="420"/>
      </w:pPr>
      <w:r>
        <w:t xml:space="preserve">3. bei Reisen zwischen dem Grenzübergang und dem Schiffsliegeort oder zwischen Schiffsliegeorten auf dem kürzesten Wege</w:t>
      </w:r>
    </w:p>
    <w:p>
      <w:r>
        <w:t xml:space="preserve">im Zusammenhang mit der grenzüberschreitenden Beförderung von Personen oder Sachen sowie in der Donauschifffahrt zur Weiterbeförderung derselben Personen oder Sachen.</w:t>
      </w:r>
    </w:p>
    <w:p>
      <w:r>
        <w:t xml:space="preserve">(4) Die Absätze 2 und 3 gelten entsprechend für die in Binnenschifffahrtsausweisen eingetragenen Familienangehörigen.</w:t>
      </w:r>
    </w:p>
    <w:p>
      <w:r>
        <w:rPr>
          <w:color w:val="555555"/>
          <w:sz w:val="17"/>
        </w:rPr>
        <w:t xml:space="preserve">Zitiervorschlag: § 25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