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AufenthV — EU-Rückkehrausweis</w:t>
      </w:r>
    </w:p>
    <w:p>
      <w:r>
        <w:rPr>
          <w:color w:val="555555"/>
          <w:sz w:val="18"/>
        </w:rPr>
        <w:t xml:space="preserve">Aufenthaltsverordnung</w:t>
      </w:r>
    </w:p>
    <w:p>
      <w:r>
        <w:rPr>
          <w:color w:val="555555"/>
          <w:sz w:val="18"/>
        </w:rPr>
        <w:t xml:space="preserve">Stand: 01.11.2025 (konsolidierte Textfassung, kein amtliches Inkrafttretensdatum)</w:t>
      </w:r>
    </w:p>
    <w:p>
      <w:r>
        <w:t xml:space="preserve">(1) Einem Unionsbürger, dessen Pass oder Passersatz verloren gegangen ist, gestohlen oder vernichtet wurde oder sonst nicht innerhalb einer angemessenen Zeit beschafft werden kann, wird auf seinen Antrag in einem Drittstaat, in dem der Mitgliedstaat seiner Staatsangehörigkeit konsularisch nicht durch eine eigene Auslandsvertretung im Sinne von Artikel 6 der Richtlinie (EU) 2015/637 vertreten ist, ein EU-Rückkehrausweis zum Zwecke der Einreise in den Mitgliedstaat, dessen Staatsangehörigkeit er besitzt oder in dem er seinen Aufenthalt hat, von einer deutschen Auslandsvertretung ausgestellt, sofern der Mitgliedstaat, dessen Staatsangehörigkeit der Antragsteller besitzt, die Angaben des Antragstellers zu dessen Staatsangehörigkeit bestätigt und keine Einwände erhebt. Abweichend von Satz 1 darf ausnahmsweise das Dokument auch zum Zwecke einer einzigen Reise in ein anderes Land ausgestellt werden.</w:t>
      </w:r>
    </w:p>
    <w:p>
      <w:r>
        <w:t xml:space="preserve">(2) Die Gültigkeitsdauer des EU-Rückkehrausweises ist nach dem Zeitraum zu bemessen, der für die Reise in den in Absatz 1 genannten Staat erforderlich ist, zuzüglich zwei Tage Nachfrist. Die Gültigkeitsdauer darf nur unter außergewöhnlichen Umständen 15 Kalendertage überschreiten.</w:t>
      </w:r>
    </w:p>
    <w:p>
      <w:r>
        <w:t xml:space="preserve">(3) Die deutsche Auslandsvertretung konsultiert spätestens zwei Arbeitstage nach Antragstellung den Mitgliedstaat der Europäischen Union, dessen Staatsangehörigkeit der Antragsteller besitzt, nach Maßgabe von Artikel 10 Absatz 2 der Richtlinie (EU) 2015/637 zum Zwecke der Überprüfung der Staatsangehörigkeit und Identität des Antragstellers. Die deutsche Auslandsvertretung übermittelt hierfür dem jeweiligen Mitgliedstaat die notwendigen Angaben zur Identität, insbesondere Namen und Vornamen, Staatsangehörigkeit, Geburtsdatum und Geschlecht des Antragstellers sowie ein Gesichts- oder Lichtbild des Antragstellers im Sinne von Artikel 4 Absatz 2 Buchstabe b der Richtlinie (EU) 2019/997 und eine Fotokopie oder elektronische Kopie eines verfügbaren Identifizierungsmittels und, soweit verfügbar, Art und Nummer des zu ersetzenden Dokuments sowie eine nationale Registrierungs- oder Sozialversicherungsnummer. Hat der Mitgliedstaat, dessen Staatsangehörigkeit der Antragsteller besitzt, Einwände gegen die Ausstellung eines EU-Rückkehrausweises, findet Artikel 4 Absatz 4 der Richtlinie (EU) 2019/997 in der Fassung vom 6. Mai 2024 Anwendung.</w:t>
      </w:r>
    </w:p>
    <w:p>
      <w:r>
        <w:t xml:space="preserve">(4) Der EU-Rückkehrausweis ist spätestens zwei Arbeitstage nach Erhalt der Bestätigung der Angaben zur Staatsangehörigkeit und Identität des Antragstellers auszustellen und eine Kopie an den Mitgliedstaat, dessen Staatsangehörigkeit der Antragsteller besitzt, zu übersenden. In begründeten Fällen darf die Frist nach Satz 1 überschritten werden. In äußersten Notfällen kann ein EU-Rückkehrausweis für einen Unionsbürger auch ohne vorherige Bestätigung des Mitgliedstaats, dessen Staatsangehörigkeit er besitzt, ausgestellt werden, wenn die deutsche Auslandsvertretung zuvor alle Kommunikationsmittel ausgeschöpft hat. Der Mitgliedstaat ist anschließend über die Ausstellung des EU-Rückkehrausweises sowie die darin enthaltenen Informationen so schnell wie möglich zu informieren.</w:t>
      </w:r>
    </w:p>
    <w:p>
      <w:r>
        <w:t xml:space="preserve">(5) Eingehende Konsultationsanfragen anderer Mitgliedstaaten leitet das Auswärtige Amt an die jeweils zuständige deutsche Behörde weiter. Die Rückmeldung ist dem jeweiligen Mitgliedstaat über das Auswärtige Amt spätestens drei Arbeitstage nach Erhalt der Informationen im Sinne des Absatzes 3 Satz 2 und 3 zu übermitteln. Kann die Frist nicht eingehalten werden, unterrichtet das Auswärtige Amt den anfragenden Mitgliedstaat und gibt eine Einschätzung ab, wann mit einer Antwort zu rechnen ist.</w:t>
      </w:r>
    </w:p>
    <w:p>
      <w:r>
        <w:t xml:space="preserve">(6) Der EU-Rückkehrausweis ist nach Ankunft am Zielort bei der für die Beantragung von Reisedokumenten zuständigen Behörde abzugeben. Die zurückgegebenen EU-Rückkehrausweise und Kopien sind umgehend zu vernichten.</w:t>
      </w:r>
    </w:p>
    <w:p>
      <w:r>
        <w:t xml:space="preserve">(7) EU-Rückkehrausweise nach Artikel 8 Absatz 1 der Richtlinie (EU) 2019/997 in der Fassung vom 6. Mai 2024 enthalten neben der Angabe des ausstellenden Staates, dem Tag und Ort der Ausstellung, dem letzten Tag der Gültigkeitsdauer, der Seriennummer des EU-Rückkehrausweises und dem Gesichts- oder Lichtbild, der Unterschrift des Inhabers sowie dem Reiseziel und gegebenenfalls Transitstaaten ausschließlich folgende sichtbar aufgebrachte Angaben über den Inhaber des Passersatzpapiers:</w:t>
      </w:r>
    </w:p>
    <w:p>
      <w:pPr>
        <w:ind w:left="420"/>
      </w:pPr>
      <w:r>
        <w:t xml:space="preserve">1. Familienname,</w:t>
      </w:r>
    </w:p>
    <w:p>
      <w:pPr>
        <w:ind w:left="420"/>
      </w:pPr>
      <w:r>
        <w:t xml:space="preserve">2. den oder die Vornamen,</w:t>
      </w:r>
    </w:p>
    <w:p>
      <w:pPr>
        <w:ind w:left="420"/>
      </w:pPr>
      <w:r>
        <w:t xml:space="preserve">3. Staatsangehörigkeit,</w:t>
      </w:r>
    </w:p>
    <w:p>
      <w:pPr>
        <w:ind w:left="420"/>
      </w:pPr>
      <w:r>
        <w:t xml:space="preserve">4. Tag der Geburt,</w:t>
      </w:r>
    </w:p>
    <w:p>
      <w:pPr>
        <w:ind w:left="420"/>
      </w:pPr>
      <w:r>
        <w:t xml:space="preserve">5. Geschlechtsangabe mit der Abkürzung „F“ für Personen weiblichen Geschlechts, „M“ für Personen männlichen Geschlechts und „X“ in allen anderen Fällen,</w:t>
      </w:r>
    </w:p>
    <w:p>
      <w:pPr>
        <w:ind w:left="420"/>
      </w:pPr>
      <w:r>
        <w:t xml:space="preserve">6. ein Anmerkungsfeld.</w:t>
      </w:r>
    </w:p>
    <w:p>
      <w:r>
        <w:t xml:space="preserve">EU-Rückkehrausweise enthalten zudem eine Zone für das automatische Lesen. Diese darf lediglich enthalten:</w:t>
      </w:r>
    </w:p>
    <w:p>
      <w:pPr>
        <w:ind w:left="420"/>
      </w:pPr>
      <w:r>
        <w:t xml:space="preserve">1. die Abkürzung „PU“ für Dokumententyp,</w:t>
      </w:r>
    </w:p>
    <w:p>
      <w:pPr>
        <w:ind w:left="420"/>
      </w:pPr>
      <w:r>
        <w:t xml:space="preserve">2. die Abkürzung „D“ für Bundesrepublik Deutschland,</w:t>
      </w:r>
    </w:p>
    <w:p>
      <w:pPr>
        <w:ind w:left="420"/>
      </w:pPr>
      <w:r>
        <w:t xml:space="preserve">3. den Familiennamen,</w:t>
      </w:r>
    </w:p>
    <w:p>
      <w:pPr>
        <w:ind w:left="420"/>
      </w:pPr>
      <w:r>
        <w:t xml:space="preserve">4. den oder die Vornamen,</w:t>
      </w:r>
    </w:p>
    <w:p>
      <w:pPr>
        <w:ind w:left="420"/>
      </w:pPr>
      <w:r>
        <w:t xml:space="preserve">5. die Seriennummer des EU-Rückkehrausweises,</w:t>
      </w:r>
    </w:p>
    <w:p>
      <w:pPr>
        <w:ind w:left="420"/>
      </w:pPr>
      <w:r>
        <w:t xml:space="preserve">6. die Abkürzung der Staatsangehörigkeit,</w:t>
      </w:r>
    </w:p>
    <w:p>
      <w:pPr>
        <w:ind w:left="420"/>
      </w:pPr>
      <w:r>
        <w:t xml:space="preserve">7. den Tag der Geburt,</w:t>
      </w:r>
    </w:p>
    <w:p>
      <w:pPr>
        <w:ind w:left="420"/>
      </w:pPr>
      <w:r>
        <w:t xml:space="preserve">8. die Abkürzung „F“ für Personen weiblichen Geschlechts, „M“ für Personen männlichen Geschlechts und das Zeichen „&lt;“ in allen anderen Fällen,</w:t>
      </w:r>
    </w:p>
    <w:p>
      <w:pPr>
        <w:ind w:left="420"/>
      </w:pPr>
      <w:r>
        <w:t xml:space="preserve">9. die Gültigkeitsdauer des EU-Rückkehrausweises,</w:t>
      </w:r>
    </w:p>
    <w:p>
      <w:pPr>
        <w:ind w:left="420"/>
      </w:pPr>
      <w:r>
        <w:t xml:space="preserve">10. die Prüfziffern und</w:t>
      </w:r>
    </w:p>
    <w:p>
      <w:pPr>
        <w:ind w:left="420"/>
      </w:pPr>
      <w:r>
        <w:t xml:space="preserve">11. Leerstellen.</w:t>
      </w:r>
    </w:p>
    <w:p>
      <w:r>
        <w:t xml:space="preserve">Die Seriennummer und Prüfziffern dürfen keine Daten über die Person des Inhabers oder Hinweise auf solche Daten enthalten. Jeder EU-Rückkehrausweis enthält eine neue Seriennummer. Bei der Ausstellung des EU-Rückkehrausweises findet Artikel 8 Absatz 2, 5 bis 8 der Richtlinie (EU) 2019/997 in der Fassung vom 6. Mai 2024 Anwendung.</w:t>
      </w:r>
    </w:p>
    <w:p>
      <w:r>
        <w:t xml:space="preserve">(8) Die für die Zwecke der Ausstellung eines EU-Rückkehrausweises verarbeiteten personenbezogenen Daten einschließlich des Gesichts- oder Lichtbilds des Antragstellers dürfen ausschließlich für die Überprüfung der Identität nach dieser Vorschrift, für das Drucken der einheitlichen EU-Rückkehrausweismarke und zur Erleichterung der Reise des Antragstellers verwendet werden. Die Berichtigung, Speicherung und Löschung der personenbezogenen Daten, die zur Ausstellung eines EU-Rückkehrausweises verarbeitet oder auf einem EU-Rückkehrausweis gespeichert werden, richten sich nach Artikel 15 Absatz 2 und 4 der Richtlinie (EU) 2019/997 in der Fassung vom 6. Mai 2024.</w:t>
      </w:r>
    </w:p>
    <w:p>
      <w:r>
        <w:t xml:space="preserve">(9) Die Ausstellung des EU-Rückkehrausweises ist gemäß Artikel 16 Absatz 1 und 2 der Richtlinie (EU) 2019/997 in der Fassung vom 6. Mai 2024 zu überwachen und die Informationen an die Europäische Kommission zu übermitteln.</w:t>
      </w:r>
    </w:p>
    <w:p>
      <w:r>
        <w:rPr>
          <w:color w:val="555555"/>
          <w:sz w:val="17"/>
        </w:rPr>
        <w:t xml:space="preserve">Zitiervorschlag: § 13a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