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AufenthV — Grenzgängerkarte</w:t>
      </w:r>
    </w:p>
    <w:p>
      <w:r>
        <w:rPr>
          <w:color w:val="555555"/>
          <w:sz w:val="18"/>
        </w:rPr>
        <w:t xml:space="preserve">Aufenthaltsverordnung</w:t>
      </w:r>
    </w:p>
    <w:p>
      <w:r>
        <w:rPr>
          <w:color w:val="555555"/>
          <w:sz w:val="18"/>
        </w:rPr>
        <w:t xml:space="preserve">Stand: 05.04.2020 (konsolidierte Textfassung, kein amtliches Inkrafttretensdatum)</w:t>
      </w:r>
    </w:p>
    <w:p>
      <w:r>
        <w:t xml:space="preserve">(1) Einem Ausländer, der sich in einem an das Bundesgebiet angrenzenden Staat rechtmäßig aufhält und der mindestens einmal wöchentlich dorthin zurückkehrt, kann eine Grenzgängerkarte für die Ausübung einer Erwerbstätigkeit oder eines Studiums im Bundesgebiet erteilt werden, wenn er</w:t>
      </w:r>
    </w:p>
    <w:p>
      <w:pPr>
        <w:ind w:left="420"/>
      </w:pPr>
      <w:r>
        <w:t xml:space="preserve">1. in familiärer Lebensgemeinschaft mit seinem deutschen Ehegatten oder Lebenspartner lebt,</w:t>
      </w:r>
    </w:p>
    <w:p>
      <w:pPr>
        <w:ind w:left="420"/>
      </w:pPr>
      <w:r>
        <w:t xml:space="preserve">2. in familiärer Lebensgemeinschaft mit seinem Ehegatten oder Lebenspartner lebt, der Unionsbürger ist und als Grenzgänger im Bundesgebiet eine Erwerbstätigkeit ausübt oder ohne Grenzgänger zu sein seinen Wohnsitz vom Bundesgebiet in einen an Deutschland angrenzenden Staat verlegt hat, oder</w:t>
      </w:r>
    </w:p>
    <w:p>
      <w:pPr>
        <w:ind w:left="420"/>
      </w:pPr>
      <w:r>
        <w:t xml:space="preserve">3. die Voraussetzungen für die Erteilung eines Aufenthaltstitels zur Ausübung einer Erwerbstätigkeit oder eines Studiums nur deshalb nicht erfüllt, weil er Grenzgänger ist.</w:t>
      </w:r>
    </w:p>
    <w:p>
      <w:r>
        <w:t xml:space="preserve">Eine Grenzgängerkarte zur Ausübung einer Beschäftigung im Bundesgebiet darf nur erteilt werden, wenn die Bundesagentur für Arbeit der Ausübung der Beschäftigung zugestimmt hat oder die Ausübung der Beschäftigung ohne Zustimmung der Bundesagentur für Arbeit zulässig ist. Im Fall der selbständigen Tätigkeit kann die Grenzgängerkarte unabhängig vom Vorliegen der Voraussetzungen des § 21 des Aufenthaltsgesetzes erteilt werden. Für eine Grenzgängerkarte zur Ausübung eines Studiums gilt § 16b Absatz 3 des Aufenthaltsgesetzes entsprechend. Einem Ausländer, der Beamter ist, in einem an das Bundesgebiet angrenzenden Staat wohnt und mindestens einmal wöchentlich dorthin zurückkehrt, wird eine Grenzgängerkarte zur Erfüllung seiner Dienstpflichten im Bundesgebiet erteilt. Die Grenzgängerkarte kann bei der erstmaligen Erteilung bis zu einer Gültigkeitsdauer von zwei Jahren ausgestellt werden. Sie kann für jeweils zwei Jahre verlängert werden, solange die Ausstellungsvoraussetzungen weiterhin vorliegen.</w:t>
      </w:r>
    </w:p>
    <w:p>
      <w:r>
        <w:t xml:space="preserve">(2) Staatsangehörigen der Schweiz wird unter den Voraussetzungen und zu den Bedingungen eine Grenzgängerkarte ausgestellt und verlängert, die in Artikel 7 Abs. 2, Artikel 13 Abs. 2, Artikel 28 Abs. 1 und Artikel 32 Abs. 2 des Anhangs I zum Abkommen vom 21. Juni 1999 zwischen der Europäischen Gemeinschaft und ihren Mitgliedstaaten einerseits und der Schweizerischen Eidgenossenschaft andererseits über die Freizügigkeit (BGBl. 2001 II S. 810) genannt sind.</w:t>
      </w:r>
    </w:p>
    <w:p>
      <w:r>
        <w:rPr>
          <w:color w:val="555555"/>
          <w:sz w:val="17"/>
        </w:rPr>
        <w:t xml:space="preserve">Zitiervorschlag: § 12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