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AufenthV — Begriffsbestimmungen</w:t>
      </w:r>
    </w:p>
    <w:p>
      <w:r>
        <w:rPr>
          <w:color w:val="555555"/>
          <w:sz w:val="18"/>
        </w:rPr>
        <w:t xml:space="preserve">Aufenthaltsverordnung</w:t>
      </w:r>
    </w:p>
    <w:p>
      <w:r>
        <w:rPr>
          <w:color w:val="555555"/>
          <w:sz w:val="18"/>
        </w:rPr>
        <w:t xml:space="preserve">Stand: 01.11.2025 (konsolidierte Textfassung, kein amtliches Inkrafttretensdatum)</w:t>
      </w:r>
    </w:p>
    <w:p>
      <w:r>
        <w:t xml:space="preserve">(1) Schengen-Staaten sind die Staaten im Sinne des § 2 Absatz 5 des Aufenthaltsgesetzes.</w:t>
      </w:r>
    </w:p>
    <w:p>
      <w:r>
        <w:t xml:space="preserve">(2) Ein Kurzaufenthalt ist ein Aufenthalt im gemeinsamen Gebiet der Schengen-Staaten von höchstens 90 Tagen je Zeitraum von 180 Tagen, wobei der Zeitraum von 180 Tagen, der jedem Tag des Aufenthalts vorangeht, berücksichtigt wird.</w:t>
      </w:r>
    </w:p>
    <w:p>
      <w:r>
        <w:t xml:space="preserve">(3) Reiseausweise für Flüchtlinge sind Ausweise auf Grund</w:t>
      </w:r>
    </w:p>
    <w:p>
      <w:pPr>
        <w:ind w:left="420"/>
      </w:pPr>
      <w:r>
        <w:t xml:space="preserve">1. des Abkommens vom 15. Oktober 1946 betreffend die Ausstellung eines Reiseausweises an Flüchtlinge, die unter die Zuständigkeit des zwischenstaatlichen Ausschusses für die Flüchtlinge fallen (BGBl. 1951 II S. 160) oder</w:t>
      </w:r>
    </w:p>
    <w:p>
      <w:pPr>
        <w:ind w:left="420"/>
      </w:pPr>
      <w:r>
        <w:t xml:space="preserve">2. des Artikels 28 in Verbindung mit dem Anhang des Abkommens vom 28. Juli 1951 über die Rechtsstellung der Flüchtlinge (BGBl. 1953 II S. 559).</w:t>
      </w:r>
    </w:p>
    <w:p>
      <w:r>
        <w:t xml:space="preserve">(4) Reiseausweise für Staatenlose sind Ausweise auf Grund des Artikels 28 in Verbindung mit dem Anhang des Übereinkommens vom 28. September 1954 über die Rechtsstellung der Staatenlosen (BGBl. 1976 II S. 473).</w:t>
      </w:r>
    </w:p>
    <w:p>
      <w:r>
        <w:t xml:space="preserve">(5) Schülersammellisten sind Listen nach Artikel 2 des Beschlusses des Rates vom 30. November 1994 über die vom Rat auf Grund von Artikel K.3 Absatz 2 Buchstabe b des Vertrages über die Europäische Union beschlossene gemeinsame Maßnahme über Reiseerleichterungen für Schüler von Drittstaaten mit Wohnsitz in einem Mitgliedstaat (ABl. EG Nr. L 327 S. 1).</w:t>
      </w:r>
    </w:p>
    <w:p>
      <w:r>
        <w:t xml:space="preserve">(6) Flugbesatzungsausweise sind "Airline Flight Crew Licenses" und "Crew Member Certificates" nach der Anlage des Anhangs 9 in der jeweils geltenden Fassung zum Abkommen vom 7. Dezember 1944 über die Internationale Zivilluftfahrt (BGBl. 1956 II S. 411).</w:t>
      </w:r>
    </w:p>
    <w:p>
      <w:r>
        <w:t xml:space="preserve">(7) Binnenschifffahrtsausweise sind in zwischenstaatlichen Vereinbarungen für den Grenzübertritt vorgesehene Ausweise für ziviles Personal, das internationale Binnenwasserstraßen befährt, sowie dessen Familienangehörige, soweit die Geltung für Familienangehörige in den jeweiligen Vereinbarungen vorgesehen ist.</w:t>
      </w:r>
    </w:p>
    <w:p>
      <w:r>
        <w:t xml:space="preserve">(8) Europäische Reisedokumente für die Rückkehr illegal aufhältiger Drittstaatsangehöriger (Europäische Reisedokumente für die Rückkehr) sind Dokumente nach der Verordnung (EU) 2016/1953 des Europäischen Parlaments und des Rates vom 26. Oktober 2016 (ABl. L 311 vom 17.11.2016, S. 13).</w:t>
      </w:r>
    </w:p>
    <w:p>
      <w:r>
        <w:t xml:space="preserve">(9) EU-Rückkehrausweise sind Reisedokumente im Sinne des Artikels 3 Absatz 1 der Richtlinie (EU) 2019/997 in der Fassung vom 6. Mai 2024.</w:t>
      </w:r>
    </w:p>
    <w:p>
      <w:r>
        <w:rPr>
          <w:color w:val="555555"/>
          <w:sz w:val="17"/>
        </w:rPr>
        <w:t xml:space="preserve">Zitiervorschlag: § 1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