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98b AufenthG 2004 — Ausschluss von Subventionen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Anträge auf Subventionen im Sinne des § 264 des Strafgesetzbuches ganz oder teilweise ablehnen, wenn der Antragsteller oder dessen nach Satzung oder Gesetz Vertretungsberechtigter</w:t>
      </w:r>
    </w:p>
    <w:p>
      <w:pPr>
        <w:ind w:left="420"/>
      </w:pPr>
      <w:r>
        <w:t xml:space="preserve">1. nach § 404 Absatz 2 Nummer 3 des Dritten Buches Sozialgesetzbuch mit einer Geldbuße von wenigstens Zweitausendfünfhundert Euro rechtskräftig belegt worden ist oder</w:t>
      </w:r>
    </w:p>
    <w:p>
      <w:pPr>
        <w:ind w:left="420"/>
      </w:pPr>
      <w:r>
        <w:t xml:space="preserve">2. nach den §§ 10, 10a oder 11 des Schwarzarbeitsbekämpfungsgesetzes zu einer Freiheitsstrafe von mehr als drei Monaten oder einer Geldstrafe von mehr als 90 Tagessätzen rechtskräftig verurteilt worden ist.</w:t>
      </w:r>
    </w:p>
    <w:p>
      <w:r>
        <w:t xml:space="preserve">Ablehnungen nach Satz 1 können je nach Schwere des der Geldbuße oder der Freiheits- oder der Geldstrafe zugrunde liegenden Verstoßes in einem Zeitraum von bis zu fünf Jahren ab Rechtskraft der Geldbuße, der Freiheits- oder der Geldstrafe erfolgen.</w:t>
      </w:r>
    </w:p>
    <w:p>
      <w:r>
        <w:t xml:space="preserve">(2) Absatz 1 gilt nicht, wenn</w:t>
      </w:r>
    </w:p>
    <w:p>
      <w:pPr>
        <w:ind w:left="420"/>
      </w:pPr>
      <w:r>
        <w:t xml:space="preserve">1. auf die beantragte Subvention ein Rechtsanspruch besteht,</w:t>
      </w:r>
    </w:p>
    <w:p>
      <w:pPr>
        <w:ind w:left="420"/>
      </w:pPr>
      <w:r>
        <w:t xml:space="preserve">2. der Antragsteller eine natürliche Person ist und die Beschäftigung, durch die der Verstoß nach Absatz 1 Satz 1 begangen wurde, seinen privaten Zwecken diente, oder</w:t>
      </w:r>
    </w:p>
    <w:p>
      <w:pPr>
        <w:ind w:left="420"/>
      </w:pPr>
      <w:r>
        <w:t xml:space="preserve">3. der Verstoß nach Absatz 1 Satz 1 darin bestand, dass ein Unionsbürger rechtswidrig beschäftigt wurde.</w:t>
      </w:r>
    </w:p>
    <w:p>
      <w:r>
        <w:rPr>
          <w:color w:val="555555"/>
          <w:sz w:val="17"/>
        </w:rPr>
        <w:t xml:space="preserve">Zitiervorschlag: § 98b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